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E6BF8" w14:textId="77777777" w:rsidR="00AC5703" w:rsidRDefault="00AC5703" w:rsidP="00AC5703">
      <w:pPr>
        <w:spacing w:after="0" w:line="259" w:lineRule="auto"/>
        <w:ind w:left="0" w:firstLine="0"/>
        <w:jc w:val="right"/>
      </w:pPr>
    </w:p>
    <w:p w14:paraId="4760D4C5" w14:textId="77777777" w:rsidR="00AC5703" w:rsidRPr="00DF0A00" w:rsidRDefault="00AC5703" w:rsidP="00AC5703">
      <w:pPr>
        <w:jc w:val="center"/>
        <w:rPr>
          <w:rFonts w:ascii="Arial" w:eastAsiaTheme="minorHAnsi" w:hAnsi="Arial" w:cs="Arial"/>
          <w:b/>
          <w:color w:val="auto"/>
          <w:sz w:val="52"/>
          <w:szCs w:val="52"/>
          <w:lang w:eastAsia="en-US"/>
        </w:rPr>
      </w:pPr>
      <w:r>
        <w:rPr>
          <w:rFonts w:ascii="Calibri" w:eastAsia="Calibri" w:hAnsi="Calibri" w:cs="Calibri"/>
          <w:sz w:val="22"/>
        </w:rPr>
        <w:t xml:space="preserve"> </w:t>
      </w:r>
      <w:r w:rsidRPr="00DF0A00">
        <w:rPr>
          <w:rFonts w:ascii="Arial" w:eastAsiaTheme="minorHAnsi" w:hAnsi="Arial" w:cs="Arial"/>
          <w:b/>
          <w:color w:val="auto"/>
          <w:sz w:val="52"/>
          <w:szCs w:val="52"/>
          <w:lang w:eastAsia="en-US"/>
        </w:rPr>
        <w:t>Bradford Safeguarding Adults Board</w:t>
      </w:r>
    </w:p>
    <w:p w14:paraId="68CF74F0" w14:textId="77777777" w:rsidR="00AC5703" w:rsidRDefault="00AC5703" w:rsidP="00AC5703">
      <w:pPr>
        <w:spacing w:after="0" w:line="259" w:lineRule="auto"/>
        <w:ind w:left="308" w:firstLine="0"/>
      </w:pPr>
    </w:p>
    <w:p w14:paraId="79C60030" w14:textId="77777777" w:rsidR="00AC5703" w:rsidRDefault="00AC5703" w:rsidP="00AC5703">
      <w:pPr>
        <w:spacing w:after="0" w:line="259" w:lineRule="auto"/>
        <w:ind w:left="308" w:firstLine="0"/>
      </w:pPr>
    </w:p>
    <w:p w14:paraId="3C022BF2" w14:textId="77777777" w:rsidR="00AC5703" w:rsidRDefault="00AC5703" w:rsidP="00AC5703">
      <w:pPr>
        <w:spacing w:after="0" w:line="259" w:lineRule="auto"/>
        <w:ind w:left="308" w:firstLine="0"/>
      </w:pPr>
    </w:p>
    <w:p w14:paraId="3A5CBC28" w14:textId="77777777" w:rsidR="00AC5703" w:rsidRDefault="00AC5703" w:rsidP="00AC5703">
      <w:pPr>
        <w:spacing w:after="0" w:line="259" w:lineRule="auto"/>
        <w:ind w:left="308" w:firstLine="0"/>
      </w:pPr>
      <w:r>
        <w:rPr>
          <w:rFonts w:ascii="Calibri" w:eastAsia="Calibri" w:hAnsi="Calibri" w:cs="Calibri"/>
          <w:sz w:val="22"/>
        </w:rPr>
        <w:t xml:space="preserve"> </w:t>
      </w:r>
    </w:p>
    <w:p w14:paraId="12AB0AD3" w14:textId="0776D943" w:rsidR="00AC5703" w:rsidRDefault="009D0E4A" w:rsidP="00AC5703">
      <w:pPr>
        <w:spacing w:after="0" w:line="259" w:lineRule="auto"/>
        <w:ind w:left="308" w:firstLine="0"/>
        <w:jc w:val="center"/>
      </w:pPr>
      <w:r>
        <w:rPr>
          <w:noProof/>
          <w14:ligatures w14:val="standardContextual"/>
        </w:rPr>
        <w:drawing>
          <wp:inline distT="0" distB="0" distL="0" distR="0" wp14:anchorId="75798B05" wp14:editId="6AE4B23A">
            <wp:extent cx="3279486" cy="1320800"/>
            <wp:effectExtent l="0" t="0" r="0" b="0"/>
            <wp:docPr id="235166812" name="Picture 1" descr="A black background with many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166812" name="Picture 1" descr="A black background with many square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286959" cy="1323810"/>
                    </a:xfrm>
                    <a:prstGeom prst="rect">
                      <a:avLst/>
                    </a:prstGeom>
                  </pic:spPr>
                </pic:pic>
              </a:graphicData>
            </a:graphic>
          </wp:inline>
        </w:drawing>
      </w:r>
    </w:p>
    <w:p w14:paraId="46CAEE49" w14:textId="77777777" w:rsidR="00AC5703" w:rsidRDefault="00AC5703" w:rsidP="00AC5703">
      <w:pPr>
        <w:spacing w:after="0" w:line="259" w:lineRule="auto"/>
        <w:ind w:left="308" w:firstLine="0"/>
      </w:pPr>
      <w:r>
        <w:rPr>
          <w:rFonts w:ascii="Calibri" w:eastAsia="Calibri" w:hAnsi="Calibri" w:cs="Calibri"/>
          <w:sz w:val="22"/>
        </w:rPr>
        <w:t xml:space="preserve"> </w:t>
      </w:r>
    </w:p>
    <w:p w14:paraId="722431BF" w14:textId="77777777" w:rsidR="00AC5703" w:rsidRDefault="00AC5703" w:rsidP="00AC5703">
      <w:pPr>
        <w:spacing w:after="0" w:line="259" w:lineRule="auto"/>
        <w:ind w:left="308" w:firstLine="0"/>
      </w:pPr>
      <w:r>
        <w:rPr>
          <w:rFonts w:ascii="Calibri" w:eastAsia="Calibri" w:hAnsi="Calibri" w:cs="Calibri"/>
          <w:sz w:val="22"/>
        </w:rPr>
        <w:t xml:space="preserve"> </w:t>
      </w:r>
    </w:p>
    <w:p w14:paraId="7195544F" w14:textId="77777777" w:rsidR="00AC5703" w:rsidRPr="00A007BB" w:rsidRDefault="00AC5703" w:rsidP="00AC5703">
      <w:pPr>
        <w:spacing w:after="0" w:line="259" w:lineRule="auto"/>
        <w:ind w:left="308" w:firstLine="0"/>
        <w:rPr>
          <w:rFonts w:ascii="Calibri" w:eastAsia="Calibri" w:hAnsi="Calibri" w:cs="Calibri"/>
          <w:sz w:val="22"/>
        </w:rPr>
      </w:pPr>
      <w:r>
        <w:rPr>
          <w:rFonts w:ascii="Calibri" w:eastAsia="Calibri" w:hAnsi="Calibri" w:cs="Calibri"/>
          <w:b/>
          <w:color w:val="C00000"/>
          <w:sz w:val="22"/>
        </w:rPr>
        <w:t xml:space="preserve"> </w:t>
      </w:r>
    </w:p>
    <w:p w14:paraId="08D05882" w14:textId="77777777" w:rsidR="00AC5703" w:rsidRDefault="00AC5703" w:rsidP="00AC5703">
      <w:pPr>
        <w:spacing w:after="331" w:line="259" w:lineRule="auto"/>
        <w:ind w:left="308" w:firstLine="0"/>
      </w:pPr>
      <w:r>
        <w:rPr>
          <w:rFonts w:ascii="Calibri" w:eastAsia="Calibri" w:hAnsi="Calibri" w:cs="Calibri"/>
          <w:sz w:val="22"/>
        </w:rPr>
        <w:t xml:space="preserve"> </w:t>
      </w:r>
    </w:p>
    <w:p w14:paraId="3BE025CE" w14:textId="77777777" w:rsidR="00AC5703" w:rsidRPr="00A007BB" w:rsidRDefault="00AC5703" w:rsidP="00AC5703">
      <w:pPr>
        <w:spacing w:after="0" w:line="259" w:lineRule="auto"/>
        <w:ind w:left="0" w:firstLine="0"/>
        <w:rPr>
          <w:sz w:val="40"/>
          <w:szCs w:val="40"/>
        </w:rPr>
      </w:pPr>
      <w:r w:rsidRPr="00A007BB">
        <w:rPr>
          <w:rFonts w:ascii="Arial" w:eastAsia="Arial" w:hAnsi="Arial" w:cs="Arial"/>
          <w:b/>
          <w:sz w:val="40"/>
          <w:szCs w:val="40"/>
        </w:rPr>
        <w:t xml:space="preserve">  </w:t>
      </w:r>
    </w:p>
    <w:p w14:paraId="21171A9E" w14:textId="590B73C5" w:rsidR="00AC5703" w:rsidRPr="00A007BB" w:rsidRDefault="00AC5703" w:rsidP="00AC5703">
      <w:pPr>
        <w:spacing w:after="0" w:line="259" w:lineRule="auto"/>
        <w:ind w:left="303"/>
        <w:jc w:val="center"/>
        <w:rPr>
          <w:sz w:val="52"/>
          <w:szCs w:val="52"/>
        </w:rPr>
      </w:pPr>
      <w:r w:rsidRPr="00A007BB">
        <w:rPr>
          <w:rFonts w:ascii="Arial" w:eastAsia="Arial" w:hAnsi="Arial" w:cs="Arial"/>
          <w:b/>
          <w:sz w:val="52"/>
          <w:szCs w:val="52"/>
        </w:rPr>
        <w:t xml:space="preserve">Multi-Agency Organisational Safeguarding Enquiry </w:t>
      </w:r>
      <w:r w:rsidR="00F33776">
        <w:rPr>
          <w:rFonts w:ascii="Arial" w:eastAsia="Arial" w:hAnsi="Arial" w:cs="Arial"/>
          <w:b/>
          <w:sz w:val="52"/>
          <w:szCs w:val="52"/>
        </w:rPr>
        <w:t xml:space="preserve">(OSE) </w:t>
      </w:r>
      <w:r w:rsidRPr="00A007BB">
        <w:rPr>
          <w:rFonts w:ascii="Arial" w:eastAsia="Arial" w:hAnsi="Arial" w:cs="Arial"/>
          <w:b/>
          <w:sz w:val="52"/>
          <w:szCs w:val="52"/>
        </w:rPr>
        <w:t>Policy and Procedure</w:t>
      </w:r>
    </w:p>
    <w:p w14:paraId="0E64DD84" w14:textId="77777777" w:rsidR="00AC5703" w:rsidRDefault="00AC5703" w:rsidP="00AC5703">
      <w:pPr>
        <w:spacing w:after="0" w:line="259" w:lineRule="auto"/>
        <w:ind w:left="308" w:firstLine="0"/>
      </w:pPr>
      <w:r>
        <w:rPr>
          <w:rFonts w:ascii="Calibri" w:eastAsia="Calibri" w:hAnsi="Calibri" w:cs="Calibri"/>
          <w:sz w:val="22"/>
        </w:rPr>
        <w:t xml:space="preserve"> </w:t>
      </w:r>
    </w:p>
    <w:p w14:paraId="4E92DAAF" w14:textId="77777777" w:rsidR="00AC5703" w:rsidRDefault="00AC5703" w:rsidP="00AC5703">
      <w:pPr>
        <w:spacing w:after="0" w:line="259" w:lineRule="auto"/>
        <w:ind w:left="308" w:firstLine="0"/>
      </w:pPr>
      <w:r>
        <w:rPr>
          <w:rFonts w:ascii="Calibri" w:eastAsia="Calibri" w:hAnsi="Calibri" w:cs="Calibri"/>
          <w:sz w:val="22"/>
        </w:rPr>
        <w:t xml:space="preserve"> </w:t>
      </w:r>
    </w:p>
    <w:p w14:paraId="72DC3B38" w14:textId="77777777" w:rsidR="00AC5703" w:rsidRDefault="00AC5703" w:rsidP="00AC5703">
      <w:pPr>
        <w:spacing w:after="0" w:line="259" w:lineRule="auto"/>
        <w:ind w:left="308" w:firstLine="0"/>
      </w:pPr>
      <w:r>
        <w:rPr>
          <w:rFonts w:ascii="Calibri" w:eastAsia="Calibri" w:hAnsi="Calibri" w:cs="Calibri"/>
          <w:sz w:val="22"/>
        </w:rPr>
        <w:t xml:space="preserve"> </w:t>
      </w:r>
    </w:p>
    <w:p w14:paraId="05D8D6C6" w14:textId="77777777" w:rsidR="00AC5703" w:rsidRDefault="00AC5703" w:rsidP="00AC5703">
      <w:pPr>
        <w:spacing w:after="0" w:line="259" w:lineRule="auto"/>
        <w:ind w:left="308" w:firstLine="0"/>
      </w:pPr>
      <w:r>
        <w:rPr>
          <w:rFonts w:ascii="Calibri" w:eastAsia="Calibri" w:hAnsi="Calibri" w:cs="Calibri"/>
          <w:sz w:val="22"/>
        </w:rPr>
        <w:t xml:space="preserve"> </w:t>
      </w:r>
    </w:p>
    <w:p w14:paraId="6AB40E1E" w14:textId="77777777" w:rsidR="00AC5703" w:rsidRDefault="00AC5703" w:rsidP="00AC5703">
      <w:pPr>
        <w:spacing w:after="0" w:line="259" w:lineRule="auto"/>
        <w:ind w:left="308" w:firstLine="0"/>
      </w:pPr>
      <w:r>
        <w:rPr>
          <w:rFonts w:ascii="Calibri" w:eastAsia="Calibri" w:hAnsi="Calibri" w:cs="Calibri"/>
          <w:sz w:val="22"/>
        </w:rPr>
        <w:t xml:space="preserve"> </w:t>
      </w:r>
    </w:p>
    <w:p w14:paraId="188E8AD7" w14:textId="77777777" w:rsidR="00AC5703" w:rsidRDefault="00AC5703" w:rsidP="00AC5703">
      <w:pPr>
        <w:spacing w:after="0" w:line="259" w:lineRule="auto"/>
        <w:ind w:left="308" w:firstLine="0"/>
      </w:pPr>
    </w:p>
    <w:p w14:paraId="2F7109D6" w14:textId="77777777" w:rsidR="00AC5703" w:rsidRDefault="00AC5703" w:rsidP="00AC5703">
      <w:pPr>
        <w:spacing w:after="0" w:line="259" w:lineRule="auto"/>
        <w:ind w:left="308" w:firstLine="0"/>
      </w:pPr>
      <w:r>
        <w:rPr>
          <w:rFonts w:ascii="Calibri" w:eastAsia="Calibri" w:hAnsi="Calibri" w:cs="Calibri"/>
          <w:sz w:val="22"/>
        </w:rPr>
        <w:t xml:space="preserve"> </w:t>
      </w:r>
    </w:p>
    <w:p w14:paraId="1E932545" w14:textId="77777777" w:rsidR="00AC5703" w:rsidRDefault="00AC5703" w:rsidP="00AC5703">
      <w:pPr>
        <w:spacing w:after="0" w:line="259" w:lineRule="auto"/>
        <w:ind w:left="308" w:firstLine="0"/>
      </w:pPr>
    </w:p>
    <w:p w14:paraId="0E098955" w14:textId="77777777" w:rsidR="00AC5703" w:rsidRDefault="00AC5703" w:rsidP="00AC5703">
      <w:pPr>
        <w:spacing w:after="0" w:line="259" w:lineRule="auto"/>
        <w:ind w:left="308" w:firstLine="0"/>
      </w:pPr>
      <w:r>
        <w:rPr>
          <w:rFonts w:ascii="Calibri" w:eastAsia="Calibri" w:hAnsi="Calibri" w:cs="Calibri"/>
          <w:sz w:val="22"/>
        </w:rPr>
        <w:t xml:space="preserve"> </w:t>
      </w:r>
    </w:p>
    <w:p w14:paraId="1EE63D60" w14:textId="77777777" w:rsidR="00AC5703" w:rsidRDefault="00AC5703" w:rsidP="00AC5703">
      <w:pPr>
        <w:spacing w:after="0" w:line="259" w:lineRule="auto"/>
        <w:ind w:left="308" w:firstLine="0"/>
      </w:pPr>
      <w:r>
        <w:rPr>
          <w:rFonts w:ascii="Calibri" w:eastAsia="Calibri" w:hAnsi="Calibri" w:cs="Calibri"/>
          <w:sz w:val="22"/>
        </w:rPr>
        <w:t xml:space="preserve"> </w:t>
      </w:r>
    </w:p>
    <w:tbl>
      <w:tblPr>
        <w:tblStyle w:val="TableGrid"/>
        <w:tblW w:w="0" w:type="auto"/>
        <w:tblInd w:w="5240" w:type="dxa"/>
        <w:tblLook w:val="04A0" w:firstRow="1" w:lastRow="0" w:firstColumn="1" w:lastColumn="0" w:noHBand="0" w:noVBand="1"/>
      </w:tblPr>
      <w:tblGrid>
        <w:gridCol w:w="2126"/>
        <w:gridCol w:w="1650"/>
      </w:tblGrid>
      <w:tr w:rsidR="00AC5703" w:rsidRPr="00DF0A00" w14:paraId="6941E413" w14:textId="77777777" w:rsidTr="00A007BB">
        <w:tc>
          <w:tcPr>
            <w:tcW w:w="2126" w:type="dxa"/>
          </w:tcPr>
          <w:p w14:paraId="01CD47E6" w14:textId="77777777" w:rsidR="00AC5703" w:rsidRPr="00DF0A00" w:rsidRDefault="00AC5703" w:rsidP="00A007BB">
            <w:pPr>
              <w:spacing w:after="0" w:line="240" w:lineRule="auto"/>
              <w:ind w:left="0" w:firstLine="0"/>
              <w:rPr>
                <w:rFonts w:ascii="Arial" w:eastAsiaTheme="minorHAnsi" w:hAnsi="Arial" w:cs="Arial"/>
                <w:b/>
                <w:color w:val="auto"/>
                <w:sz w:val="24"/>
                <w:szCs w:val="24"/>
                <w:lang w:eastAsia="en-US"/>
              </w:rPr>
            </w:pPr>
            <w:r w:rsidRPr="00DF0A00">
              <w:rPr>
                <w:rFonts w:ascii="Arial" w:eastAsiaTheme="minorHAnsi" w:hAnsi="Arial" w:cs="Arial"/>
                <w:b/>
                <w:color w:val="auto"/>
                <w:sz w:val="24"/>
                <w:szCs w:val="24"/>
                <w:lang w:eastAsia="en-US"/>
              </w:rPr>
              <w:t>Version</w:t>
            </w:r>
          </w:p>
        </w:tc>
        <w:tc>
          <w:tcPr>
            <w:tcW w:w="1650" w:type="dxa"/>
          </w:tcPr>
          <w:p w14:paraId="3B4BE2A0" w14:textId="3A963137" w:rsidR="00AC5703" w:rsidRPr="00DF0A00" w:rsidRDefault="00AC5703" w:rsidP="00A007BB">
            <w:pPr>
              <w:spacing w:after="0" w:line="240" w:lineRule="auto"/>
              <w:ind w:left="0" w:firstLine="0"/>
              <w:rPr>
                <w:rFonts w:ascii="Arial" w:eastAsiaTheme="minorHAnsi" w:hAnsi="Arial" w:cs="Arial"/>
                <w:color w:val="auto"/>
                <w:sz w:val="24"/>
                <w:szCs w:val="24"/>
                <w:lang w:eastAsia="en-US"/>
              </w:rPr>
            </w:pPr>
            <w:r w:rsidRPr="00DF0A00">
              <w:rPr>
                <w:rFonts w:ascii="Arial" w:eastAsiaTheme="minorHAnsi" w:hAnsi="Arial" w:cs="Arial"/>
                <w:color w:val="auto"/>
                <w:sz w:val="24"/>
                <w:szCs w:val="24"/>
                <w:lang w:eastAsia="en-US"/>
              </w:rPr>
              <w:t>v</w:t>
            </w:r>
            <w:r w:rsidR="006F2396">
              <w:rPr>
                <w:rFonts w:ascii="Arial" w:eastAsiaTheme="minorHAnsi" w:hAnsi="Arial" w:cs="Arial"/>
                <w:color w:val="auto"/>
                <w:sz w:val="24"/>
                <w:szCs w:val="24"/>
                <w:lang w:eastAsia="en-US"/>
              </w:rPr>
              <w:t>1</w:t>
            </w:r>
            <w:r w:rsidRPr="00DF0A00">
              <w:rPr>
                <w:rFonts w:ascii="Arial" w:eastAsiaTheme="minorHAnsi" w:hAnsi="Arial" w:cs="Arial"/>
                <w:color w:val="auto"/>
                <w:sz w:val="24"/>
                <w:szCs w:val="24"/>
                <w:lang w:eastAsia="en-US"/>
              </w:rPr>
              <w:t>.</w:t>
            </w:r>
            <w:r w:rsidR="006F2396">
              <w:rPr>
                <w:rFonts w:ascii="Arial" w:eastAsiaTheme="minorHAnsi" w:hAnsi="Arial" w:cs="Arial"/>
                <w:color w:val="auto"/>
                <w:sz w:val="24"/>
                <w:szCs w:val="24"/>
              </w:rPr>
              <w:t>0</w:t>
            </w:r>
          </w:p>
        </w:tc>
      </w:tr>
      <w:tr w:rsidR="00AC5703" w:rsidRPr="00DF0A00" w14:paraId="280C7B18" w14:textId="77777777" w:rsidTr="00A007BB">
        <w:tc>
          <w:tcPr>
            <w:tcW w:w="2126" w:type="dxa"/>
          </w:tcPr>
          <w:p w14:paraId="1FD7967B" w14:textId="77777777" w:rsidR="00AC5703" w:rsidRPr="00DF0A00" w:rsidRDefault="00AC5703" w:rsidP="00A007BB">
            <w:pPr>
              <w:spacing w:after="0" w:line="240" w:lineRule="auto"/>
              <w:ind w:left="0" w:firstLine="0"/>
              <w:rPr>
                <w:rFonts w:ascii="Arial" w:eastAsiaTheme="minorHAnsi" w:hAnsi="Arial" w:cs="Arial"/>
                <w:b/>
                <w:color w:val="auto"/>
                <w:sz w:val="24"/>
                <w:szCs w:val="24"/>
                <w:lang w:eastAsia="en-US"/>
              </w:rPr>
            </w:pPr>
            <w:r w:rsidRPr="00DF0A00">
              <w:rPr>
                <w:rFonts w:ascii="Arial" w:eastAsiaTheme="minorHAnsi" w:hAnsi="Arial" w:cs="Arial"/>
                <w:b/>
                <w:color w:val="auto"/>
                <w:sz w:val="24"/>
                <w:szCs w:val="24"/>
                <w:lang w:eastAsia="en-US"/>
              </w:rPr>
              <w:t>Approved date</w:t>
            </w:r>
          </w:p>
        </w:tc>
        <w:tc>
          <w:tcPr>
            <w:tcW w:w="1650" w:type="dxa"/>
          </w:tcPr>
          <w:p w14:paraId="2CB49D8A" w14:textId="63CB0C91" w:rsidR="00AC5703" w:rsidRPr="00DF0A00" w:rsidRDefault="006F2396" w:rsidP="00A007BB">
            <w:pPr>
              <w:spacing w:after="0" w:line="240" w:lineRule="auto"/>
              <w:ind w:left="0" w:firstLine="0"/>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Sep 2023</w:t>
            </w:r>
          </w:p>
        </w:tc>
      </w:tr>
      <w:tr w:rsidR="00AC5703" w:rsidRPr="00DF0A00" w14:paraId="55DE1D42" w14:textId="77777777" w:rsidTr="00A007BB">
        <w:tc>
          <w:tcPr>
            <w:tcW w:w="2126" w:type="dxa"/>
          </w:tcPr>
          <w:p w14:paraId="01DB17E5" w14:textId="77777777" w:rsidR="00AC5703" w:rsidRPr="00DF0A00" w:rsidRDefault="00AC5703" w:rsidP="00A007BB">
            <w:pPr>
              <w:spacing w:after="0" w:line="240" w:lineRule="auto"/>
              <w:ind w:left="0" w:firstLine="0"/>
              <w:rPr>
                <w:rFonts w:ascii="Arial" w:eastAsiaTheme="minorHAnsi" w:hAnsi="Arial" w:cs="Arial"/>
                <w:b/>
                <w:color w:val="auto"/>
                <w:sz w:val="24"/>
                <w:szCs w:val="24"/>
                <w:lang w:eastAsia="en-US"/>
              </w:rPr>
            </w:pPr>
            <w:r w:rsidRPr="00DF0A00">
              <w:rPr>
                <w:rFonts w:ascii="Arial" w:eastAsiaTheme="minorHAnsi" w:hAnsi="Arial" w:cs="Arial"/>
                <w:b/>
                <w:color w:val="auto"/>
                <w:sz w:val="24"/>
                <w:szCs w:val="24"/>
                <w:lang w:eastAsia="en-US"/>
              </w:rPr>
              <w:t>Review date</w:t>
            </w:r>
          </w:p>
        </w:tc>
        <w:tc>
          <w:tcPr>
            <w:tcW w:w="1650" w:type="dxa"/>
          </w:tcPr>
          <w:p w14:paraId="4D306D4E" w14:textId="77777777" w:rsidR="00AC5703" w:rsidRPr="00DF0A00" w:rsidRDefault="00AC5703" w:rsidP="00A007BB">
            <w:pPr>
              <w:spacing w:after="0" w:line="240" w:lineRule="auto"/>
              <w:ind w:left="0" w:firstLine="0"/>
              <w:rPr>
                <w:rFonts w:ascii="Arial" w:eastAsiaTheme="minorHAnsi" w:hAnsi="Arial" w:cs="Arial"/>
                <w:b/>
                <w:color w:val="auto"/>
                <w:sz w:val="24"/>
                <w:szCs w:val="24"/>
                <w:lang w:eastAsia="en-US"/>
              </w:rPr>
            </w:pPr>
          </w:p>
        </w:tc>
      </w:tr>
      <w:tr w:rsidR="00AC5703" w:rsidRPr="00DF0A00" w14:paraId="62FA4FE4" w14:textId="77777777" w:rsidTr="00A007BB">
        <w:tc>
          <w:tcPr>
            <w:tcW w:w="2126" w:type="dxa"/>
          </w:tcPr>
          <w:p w14:paraId="4515483D" w14:textId="77777777" w:rsidR="00AC5703" w:rsidRPr="00DF0A00" w:rsidRDefault="00AC5703" w:rsidP="00A007BB">
            <w:pPr>
              <w:spacing w:after="0" w:line="240" w:lineRule="auto"/>
              <w:ind w:left="0" w:firstLine="0"/>
              <w:rPr>
                <w:rFonts w:ascii="Arial" w:eastAsiaTheme="minorHAnsi" w:hAnsi="Arial" w:cs="Arial"/>
                <w:b/>
                <w:color w:val="auto"/>
                <w:sz w:val="24"/>
                <w:szCs w:val="24"/>
                <w:lang w:eastAsia="en-US"/>
              </w:rPr>
            </w:pPr>
            <w:r w:rsidRPr="00DF0A00">
              <w:rPr>
                <w:rFonts w:ascii="Arial" w:eastAsiaTheme="minorHAnsi" w:hAnsi="Arial" w:cs="Arial"/>
                <w:b/>
                <w:color w:val="auto"/>
                <w:sz w:val="24"/>
                <w:szCs w:val="24"/>
                <w:lang w:eastAsia="en-US"/>
              </w:rPr>
              <w:t>Officer’s initials</w:t>
            </w:r>
          </w:p>
        </w:tc>
        <w:tc>
          <w:tcPr>
            <w:tcW w:w="1650" w:type="dxa"/>
          </w:tcPr>
          <w:p w14:paraId="5C812F24" w14:textId="77777777" w:rsidR="00AC5703" w:rsidRPr="00DF0A00" w:rsidRDefault="00AC5703" w:rsidP="00A007BB">
            <w:pPr>
              <w:spacing w:after="0" w:line="240" w:lineRule="auto"/>
              <w:ind w:left="0" w:firstLine="0"/>
              <w:rPr>
                <w:rFonts w:ascii="Arial" w:eastAsiaTheme="minorHAnsi" w:hAnsi="Arial" w:cs="Arial"/>
                <w:color w:val="auto"/>
                <w:sz w:val="24"/>
                <w:szCs w:val="24"/>
                <w:lang w:eastAsia="en-US"/>
              </w:rPr>
            </w:pPr>
            <w:r w:rsidRPr="00DF0A00">
              <w:rPr>
                <w:rFonts w:ascii="Arial" w:eastAsiaTheme="minorHAnsi" w:hAnsi="Arial" w:cs="Arial"/>
                <w:color w:val="auto"/>
                <w:sz w:val="24"/>
                <w:szCs w:val="24"/>
                <w:lang w:eastAsia="en-US"/>
              </w:rPr>
              <w:t>RS</w:t>
            </w:r>
          </w:p>
        </w:tc>
      </w:tr>
    </w:tbl>
    <w:p w14:paraId="37D7D989" w14:textId="77777777" w:rsidR="00AC5703" w:rsidRDefault="00AC5703" w:rsidP="00AC5703">
      <w:pPr>
        <w:spacing w:after="0" w:line="259" w:lineRule="auto"/>
        <w:ind w:left="308" w:firstLine="0"/>
        <w:jc w:val="right"/>
      </w:pPr>
      <w:r>
        <w:rPr>
          <w:rFonts w:ascii="Calibri" w:eastAsia="Calibri" w:hAnsi="Calibri" w:cs="Calibri"/>
          <w:sz w:val="22"/>
        </w:rPr>
        <w:t xml:space="preserve"> </w:t>
      </w:r>
    </w:p>
    <w:p w14:paraId="6EC13256" w14:textId="77777777" w:rsidR="00AC5703" w:rsidRDefault="00AC5703" w:rsidP="00AC5703">
      <w:pPr>
        <w:spacing w:after="0" w:line="259" w:lineRule="auto"/>
        <w:ind w:left="308" w:firstLine="0"/>
      </w:pPr>
      <w:r>
        <w:rPr>
          <w:rFonts w:ascii="Calibri" w:eastAsia="Calibri" w:hAnsi="Calibri" w:cs="Calibri"/>
          <w:sz w:val="22"/>
        </w:rPr>
        <w:t xml:space="preserve"> </w:t>
      </w:r>
    </w:p>
    <w:p w14:paraId="04B4F7B8" w14:textId="77777777" w:rsidR="00AC5703" w:rsidRDefault="00AC5703" w:rsidP="00AC5703">
      <w:pPr>
        <w:spacing w:after="0" w:line="259" w:lineRule="auto"/>
        <w:ind w:left="308" w:firstLine="0"/>
      </w:pPr>
      <w:r>
        <w:rPr>
          <w:rFonts w:ascii="Calibri" w:eastAsia="Calibri" w:hAnsi="Calibri" w:cs="Calibri"/>
          <w:sz w:val="22"/>
        </w:rPr>
        <w:t xml:space="preserve"> </w:t>
      </w:r>
    </w:p>
    <w:p w14:paraId="2D9005AB" w14:textId="77777777" w:rsidR="00AC5703" w:rsidRDefault="00AC5703" w:rsidP="00AC5703">
      <w:pPr>
        <w:spacing w:after="0" w:line="259" w:lineRule="auto"/>
        <w:ind w:left="308" w:firstLine="0"/>
      </w:pPr>
      <w:r>
        <w:rPr>
          <w:rFonts w:ascii="Calibri" w:eastAsia="Calibri" w:hAnsi="Calibri" w:cs="Calibri"/>
          <w:sz w:val="22"/>
        </w:rPr>
        <w:t xml:space="preserve"> </w:t>
      </w:r>
    </w:p>
    <w:p w14:paraId="093630F7" w14:textId="77777777" w:rsidR="00AC5703" w:rsidRDefault="00AC5703" w:rsidP="00AC5703">
      <w:pPr>
        <w:spacing w:after="11" w:line="259" w:lineRule="auto"/>
        <w:ind w:left="308" w:firstLine="0"/>
      </w:pPr>
      <w:r>
        <w:rPr>
          <w:rFonts w:ascii="Calibri" w:eastAsia="Calibri" w:hAnsi="Calibri" w:cs="Calibri"/>
          <w:sz w:val="22"/>
        </w:rPr>
        <w:t xml:space="preserve"> </w:t>
      </w:r>
    </w:p>
    <w:p w14:paraId="034617D3" w14:textId="4A7381FB" w:rsidR="00AC5703" w:rsidRDefault="00AC5703" w:rsidP="00AC5703">
      <w:pPr>
        <w:spacing w:after="0" w:line="259" w:lineRule="auto"/>
        <w:ind w:left="337" w:firstLine="0"/>
        <w:jc w:val="center"/>
      </w:pPr>
      <w:r>
        <w:rPr>
          <w:b/>
          <w:sz w:val="24"/>
        </w:rPr>
        <w:t xml:space="preserve"> </w:t>
      </w:r>
    </w:p>
    <w:sdt>
      <w:sdtPr>
        <w:id w:val="-914470164"/>
        <w:docPartObj>
          <w:docPartGallery w:val="Table of Contents"/>
        </w:docPartObj>
      </w:sdtPr>
      <w:sdtEndPr/>
      <w:sdtContent>
        <w:p w14:paraId="330CA064" w14:textId="77777777" w:rsidR="00AC5703" w:rsidRDefault="00AC5703" w:rsidP="00AC5703">
          <w:pPr>
            <w:spacing w:after="0" w:line="259" w:lineRule="auto"/>
            <w:ind w:left="109" w:firstLine="0"/>
            <w:jc w:val="center"/>
          </w:pPr>
          <w:r>
            <w:rPr>
              <w:rFonts w:ascii="Arial" w:eastAsia="Arial" w:hAnsi="Arial" w:cs="Arial"/>
              <w:b/>
              <w:sz w:val="28"/>
            </w:rPr>
            <w:t xml:space="preserve">Contents </w:t>
          </w:r>
        </w:p>
        <w:p w14:paraId="0671F2A7" w14:textId="77777777" w:rsidR="00AC5703" w:rsidRDefault="00AC5703" w:rsidP="00AC5703">
          <w:pPr>
            <w:spacing w:after="217" w:line="259" w:lineRule="auto"/>
            <w:ind w:left="0" w:firstLine="0"/>
          </w:pPr>
          <w:r>
            <w:lastRenderedPageBreak/>
            <w:t xml:space="preserve"> </w:t>
          </w:r>
        </w:p>
        <w:p w14:paraId="5C769E5F" w14:textId="77777777" w:rsidR="00AC5703" w:rsidRDefault="00AC5703" w:rsidP="00AC5703">
          <w:pPr>
            <w:pStyle w:val="TOC1"/>
            <w:tabs>
              <w:tab w:val="right" w:leader="dot" w:pos="9386"/>
            </w:tabs>
          </w:pPr>
          <w:r>
            <w:fldChar w:fldCharType="begin"/>
          </w:r>
          <w:r>
            <w:instrText xml:space="preserve"> TOC \o "1-3" \h \z \u </w:instrText>
          </w:r>
          <w:r>
            <w:fldChar w:fldCharType="separate"/>
          </w:r>
          <w:hyperlink w:anchor="_Toc21834">
            <w:r>
              <w:t>1.  Introduction</w:t>
            </w:r>
            <w:r>
              <w:tab/>
            </w:r>
            <w:r>
              <w:fldChar w:fldCharType="begin"/>
            </w:r>
            <w:r>
              <w:instrText>PAGEREF _Toc21834 \h</w:instrText>
            </w:r>
            <w:r>
              <w:fldChar w:fldCharType="separate"/>
            </w:r>
            <w:r>
              <w:t xml:space="preserve">3 </w:t>
            </w:r>
            <w:r>
              <w:fldChar w:fldCharType="end"/>
            </w:r>
          </w:hyperlink>
        </w:p>
        <w:p w14:paraId="4DA69B12" w14:textId="77777777" w:rsidR="00AC5703" w:rsidRDefault="009D0E4A" w:rsidP="00AC5703">
          <w:pPr>
            <w:pStyle w:val="TOC1"/>
            <w:tabs>
              <w:tab w:val="right" w:leader="dot" w:pos="9386"/>
            </w:tabs>
          </w:pPr>
          <w:hyperlink w:anchor="_Toc21835">
            <w:r w:rsidR="00AC5703">
              <w:t>2.  Organisational safeguarding Enquiries</w:t>
            </w:r>
            <w:r w:rsidR="00AC5703">
              <w:tab/>
            </w:r>
            <w:r w:rsidR="00AC5703">
              <w:fldChar w:fldCharType="begin"/>
            </w:r>
            <w:r w:rsidR="00AC5703">
              <w:instrText>PAGEREF _Toc21835 \h</w:instrText>
            </w:r>
            <w:r w:rsidR="00AC5703">
              <w:fldChar w:fldCharType="separate"/>
            </w:r>
            <w:r w:rsidR="00AC5703">
              <w:t xml:space="preserve">3 </w:t>
            </w:r>
            <w:r w:rsidR="00AC5703">
              <w:fldChar w:fldCharType="end"/>
            </w:r>
          </w:hyperlink>
        </w:p>
        <w:p w14:paraId="0B97E559" w14:textId="77777777" w:rsidR="00AC5703" w:rsidRDefault="009D0E4A" w:rsidP="00AC5703">
          <w:pPr>
            <w:pStyle w:val="TOC2"/>
            <w:tabs>
              <w:tab w:val="right" w:leader="dot" w:pos="9386"/>
            </w:tabs>
          </w:pPr>
          <w:hyperlink w:anchor="_Toc21836">
            <w:r w:rsidR="00AC5703">
              <w:t>2.1  Relationship with other safeguarding enquiries</w:t>
            </w:r>
            <w:r w:rsidR="00AC5703">
              <w:tab/>
            </w:r>
            <w:r w:rsidR="00AC5703">
              <w:fldChar w:fldCharType="begin"/>
            </w:r>
            <w:r w:rsidR="00AC5703">
              <w:instrText>PAGEREF _Toc21836 \h</w:instrText>
            </w:r>
            <w:r w:rsidR="00AC5703">
              <w:fldChar w:fldCharType="separate"/>
            </w:r>
            <w:r w:rsidR="00AC5703">
              <w:t xml:space="preserve">4 </w:t>
            </w:r>
            <w:r w:rsidR="00AC5703">
              <w:fldChar w:fldCharType="end"/>
            </w:r>
          </w:hyperlink>
        </w:p>
        <w:p w14:paraId="5D4638B5" w14:textId="77777777" w:rsidR="00AC5703" w:rsidRDefault="009D0E4A" w:rsidP="00AC5703">
          <w:pPr>
            <w:pStyle w:val="TOC1"/>
            <w:tabs>
              <w:tab w:val="right" w:leader="dot" w:pos="9386"/>
            </w:tabs>
          </w:pPr>
          <w:hyperlink w:anchor="_Toc21837">
            <w:r w:rsidR="00AC5703">
              <w:t>3.  Practice considerations</w:t>
            </w:r>
            <w:r w:rsidR="00AC5703">
              <w:tab/>
            </w:r>
            <w:r w:rsidR="00AC5703">
              <w:fldChar w:fldCharType="begin"/>
            </w:r>
            <w:r w:rsidR="00AC5703">
              <w:instrText>PAGEREF _Toc21837 \h</w:instrText>
            </w:r>
            <w:r w:rsidR="00AC5703">
              <w:fldChar w:fldCharType="separate"/>
            </w:r>
            <w:r w:rsidR="00AC5703">
              <w:t xml:space="preserve">5 </w:t>
            </w:r>
            <w:r w:rsidR="00AC5703">
              <w:fldChar w:fldCharType="end"/>
            </w:r>
          </w:hyperlink>
        </w:p>
        <w:p w14:paraId="69FA6C7D" w14:textId="77777777" w:rsidR="00AC5703" w:rsidRDefault="009D0E4A" w:rsidP="00AC5703">
          <w:pPr>
            <w:pStyle w:val="TOC2"/>
            <w:tabs>
              <w:tab w:val="right" w:leader="dot" w:pos="9386"/>
            </w:tabs>
          </w:pPr>
          <w:hyperlink w:anchor="_Toc21838">
            <w:r w:rsidR="00AC5703">
              <w:t>3.1  Who to involve within Organisational safeguarding Enquiries</w:t>
            </w:r>
            <w:r w:rsidR="00AC5703">
              <w:tab/>
            </w:r>
            <w:r w:rsidR="00AC5703">
              <w:fldChar w:fldCharType="begin"/>
            </w:r>
            <w:r w:rsidR="00AC5703">
              <w:instrText>PAGEREF _Toc21838 \h</w:instrText>
            </w:r>
            <w:r w:rsidR="00AC5703">
              <w:fldChar w:fldCharType="separate"/>
            </w:r>
            <w:r w:rsidR="00AC5703">
              <w:t xml:space="preserve">5 </w:t>
            </w:r>
            <w:r w:rsidR="00AC5703">
              <w:fldChar w:fldCharType="end"/>
            </w:r>
          </w:hyperlink>
        </w:p>
        <w:p w14:paraId="4720F776" w14:textId="77777777" w:rsidR="00AC5703" w:rsidRDefault="00AC5703" w:rsidP="00AC5703">
          <w:pPr>
            <w:pStyle w:val="TOC3"/>
            <w:tabs>
              <w:tab w:val="right" w:leader="dot" w:pos="9386"/>
            </w:tabs>
            <w:ind w:left="0" w:firstLine="0"/>
          </w:pPr>
          <w:r>
            <w:t xml:space="preserve">    </w:t>
          </w:r>
          <w:hyperlink w:anchor="_Toc21839">
            <w:r>
              <w:t>3.2  Involvement of adults at risk and their representatives</w:t>
            </w:r>
            <w:r>
              <w:tab/>
            </w:r>
            <w:r>
              <w:fldChar w:fldCharType="begin"/>
            </w:r>
            <w:r>
              <w:instrText>PAGEREF _Toc21839 \h</w:instrText>
            </w:r>
            <w:r>
              <w:fldChar w:fldCharType="separate"/>
            </w:r>
            <w:r>
              <w:t xml:space="preserve">6 </w:t>
            </w:r>
            <w:r>
              <w:fldChar w:fldCharType="end"/>
            </w:r>
          </w:hyperlink>
        </w:p>
        <w:p w14:paraId="56C253F7" w14:textId="77777777" w:rsidR="00AC5703" w:rsidRDefault="00AC5703" w:rsidP="00AC5703">
          <w:pPr>
            <w:pStyle w:val="TOC3"/>
            <w:tabs>
              <w:tab w:val="right" w:leader="dot" w:pos="9386"/>
            </w:tabs>
            <w:ind w:left="0" w:firstLine="0"/>
          </w:pPr>
          <w:r>
            <w:t xml:space="preserve">    3.3 </w:t>
          </w:r>
          <w:hyperlink w:anchor="_Toc21840">
            <w:r>
              <w:t>Involvement of the service provider</w:t>
            </w:r>
            <w:r>
              <w:tab/>
            </w:r>
            <w:r>
              <w:fldChar w:fldCharType="begin"/>
            </w:r>
            <w:r>
              <w:instrText>PAGEREF _Toc21840 \h</w:instrText>
            </w:r>
            <w:r>
              <w:fldChar w:fldCharType="separate"/>
            </w:r>
            <w:r>
              <w:t xml:space="preserve">6 </w:t>
            </w:r>
            <w:r>
              <w:fldChar w:fldCharType="end"/>
            </w:r>
          </w:hyperlink>
        </w:p>
        <w:p w14:paraId="781C0C5C" w14:textId="77777777" w:rsidR="00AC5703" w:rsidRDefault="00AC5703" w:rsidP="00AC5703">
          <w:pPr>
            <w:pStyle w:val="TOC3"/>
            <w:tabs>
              <w:tab w:val="right" w:leader="dot" w:pos="9386"/>
            </w:tabs>
            <w:ind w:left="0" w:firstLine="0"/>
          </w:pPr>
          <w:r>
            <w:t xml:space="preserve">    3.4 </w:t>
          </w:r>
          <w:hyperlink w:anchor="_Toc21841">
            <w:r>
              <w:t>Involvement and responsibilities of non-CBMDC placing authorities</w:t>
            </w:r>
            <w:r>
              <w:tab/>
            </w:r>
            <w:r>
              <w:fldChar w:fldCharType="begin"/>
            </w:r>
            <w:r>
              <w:instrText>PAGEREF _Toc21841 \h</w:instrText>
            </w:r>
            <w:r>
              <w:fldChar w:fldCharType="separate"/>
            </w:r>
            <w:r>
              <w:t xml:space="preserve">7 </w:t>
            </w:r>
            <w:r>
              <w:fldChar w:fldCharType="end"/>
            </w:r>
          </w:hyperlink>
        </w:p>
        <w:p w14:paraId="67131942" w14:textId="77777777" w:rsidR="00AC5703" w:rsidRDefault="009D0E4A" w:rsidP="00AC5703">
          <w:pPr>
            <w:pStyle w:val="TOC1"/>
            <w:tabs>
              <w:tab w:val="right" w:leader="dot" w:pos="9386"/>
            </w:tabs>
          </w:pPr>
          <w:hyperlink w:anchor="_Toc21842">
            <w:r w:rsidR="00AC5703">
              <w:t>4.  Enquiry planning</w:t>
            </w:r>
            <w:r w:rsidR="00AC5703">
              <w:tab/>
            </w:r>
            <w:r w:rsidR="00AC5703">
              <w:fldChar w:fldCharType="begin"/>
            </w:r>
            <w:r w:rsidR="00AC5703">
              <w:instrText>PAGEREF _Toc21842 \h</w:instrText>
            </w:r>
            <w:r w:rsidR="00AC5703">
              <w:fldChar w:fldCharType="separate"/>
            </w:r>
            <w:r w:rsidR="00AC5703">
              <w:t xml:space="preserve">7 </w:t>
            </w:r>
            <w:r w:rsidR="00AC5703">
              <w:fldChar w:fldCharType="end"/>
            </w:r>
          </w:hyperlink>
        </w:p>
        <w:p w14:paraId="62BCF249" w14:textId="77777777" w:rsidR="00AC5703" w:rsidRDefault="009D0E4A" w:rsidP="00AC5703">
          <w:pPr>
            <w:pStyle w:val="TOC2"/>
            <w:tabs>
              <w:tab w:val="right" w:leader="dot" w:pos="9386"/>
            </w:tabs>
          </w:pPr>
          <w:hyperlink w:anchor="_Toc21843">
            <w:r w:rsidR="00AC5703">
              <w:t>4.1  The Organisational Safeguarding Enquiry Process</w:t>
            </w:r>
            <w:r w:rsidR="00AC5703">
              <w:tab/>
            </w:r>
            <w:r w:rsidR="00AC5703">
              <w:fldChar w:fldCharType="begin"/>
            </w:r>
            <w:r w:rsidR="00AC5703">
              <w:instrText>PAGEREF _Toc21843 \h</w:instrText>
            </w:r>
            <w:r w:rsidR="00AC5703">
              <w:fldChar w:fldCharType="separate"/>
            </w:r>
            <w:r w:rsidR="00AC5703">
              <w:t xml:space="preserve">8 </w:t>
            </w:r>
            <w:r w:rsidR="00AC5703">
              <w:fldChar w:fldCharType="end"/>
            </w:r>
          </w:hyperlink>
        </w:p>
        <w:p w14:paraId="05A7B749" w14:textId="77777777" w:rsidR="00AC5703" w:rsidRDefault="009D0E4A" w:rsidP="00AC5703">
          <w:pPr>
            <w:pStyle w:val="TOC2"/>
            <w:tabs>
              <w:tab w:val="right" w:leader="dot" w:pos="9386"/>
            </w:tabs>
          </w:pPr>
          <w:hyperlink w:anchor="_Toc21844">
            <w:r w:rsidR="00AC5703">
              <w:t>4.2  Safeguarding plans</w:t>
            </w:r>
            <w:r w:rsidR="00AC5703">
              <w:tab/>
            </w:r>
            <w:r w:rsidR="00AC5703">
              <w:fldChar w:fldCharType="begin"/>
            </w:r>
            <w:r w:rsidR="00AC5703">
              <w:instrText>PAGEREF _Toc21844 \h</w:instrText>
            </w:r>
            <w:r w:rsidR="00AC5703">
              <w:fldChar w:fldCharType="separate"/>
            </w:r>
            <w:r w:rsidR="00AC5703">
              <w:t xml:space="preserve">9 </w:t>
            </w:r>
            <w:r w:rsidR="00AC5703">
              <w:fldChar w:fldCharType="end"/>
            </w:r>
          </w:hyperlink>
        </w:p>
        <w:p w14:paraId="0E2F1A0E" w14:textId="77777777" w:rsidR="00AC5703" w:rsidRDefault="009D0E4A" w:rsidP="00AC5703">
          <w:pPr>
            <w:pStyle w:val="TOC2"/>
            <w:tabs>
              <w:tab w:val="right" w:leader="dot" w:pos="9386"/>
            </w:tabs>
          </w:pPr>
          <w:hyperlink w:anchor="_Toc21845">
            <w:r w:rsidR="00AC5703">
              <w:t>4.3  Outcome meetings</w:t>
            </w:r>
            <w:r w:rsidR="00AC5703">
              <w:tab/>
            </w:r>
            <w:r w:rsidR="00AC5703">
              <w:fldChar w:fldCharType="begin"/>
            </w:r>
            <w:r w:rsidR="00AC5703">
              <w:instrText>PAGEREF _Toc21845 \h</w:instrText>
            </w:r>
            <w:r w:rsidR="00AC5703">
              <w:fldChar w:fldCharType="separate"/>
            </w:r>
            <w:r w:rsidR="00AC5703">
              <w:t xml:space="preserve">9                                             </w:t>
            </w:r>
            <w:r w:rsidR="00AC5703">
              <w:fldChar w:fldCharType="end"/>
            </w:r>
          </w:hyperlink>
        </w:p>
        <w:p w14:paraId="400736D8" w14:textId="77777777" w:rsidR="00AC5703" w:rsidRDefault="009D0E4A" w:rsidP="00AC5703">
          <w:pPr>
            <w:pStyle w:val="TOC1"/>
            <w:tabs>
              <w:tab w:val="right" w:leader="dot" w:pos="9386"/>
            </w:tabs>
          </w:pPr>
          <w:hyperlink w:anchor="_Toc21846">
            <w:r w:rsidR="00AC5703">
              <w:t>5.  Additional Issues</w:t>
            </w:r>
            <w:r w:rsidR="00AC5703">
              <w:tab/>
              <w:t>10</w:t>
            </w:r>
            <w:r w:rsidR="00AC5703">
              <w:fldChar w:fldCharType="begin"/>
            </w:r>
            <w:r w:rsidR="00AC5703">
              <w:instrText>PAGEREF _Toc21846 \h</w:instrText>
            </w:r>
            <w:r w:rsidR="00AC5703">
              <w:fldChar w:fldCharType="separate"/>
            </w:r>
            <w:r w:rsidR="00AC5703">
              <w:t xml:space="preserve"> </w:t>
            </w:r>
            <w:r w:rsidR="00AC5703">
              <w:fldChar w:fldCharType="end"/>
            </w:r>
          </w:hyperlink>
        </w:p>
        <w:p w14:paraId="6FCFD94D" w14:textId="77777777" w:rsidR="00AC5703" w:rsidRDefault="009D0E4A" w:rsidP="00AC5703">
          <w:pPr>
            <w:pStyle w:val="TOC2"/>
            <w:tabs>
              <w:tab w:val="right" w:leader="dot" w:pos="9386"/>
            </w:tabs>
          </w:pPr>
          <w:hyperlink w:anchor="_Toc21847">
            <w:r w:rsidR="00AC5703">
              <w:t>5.1   Informing wider service users/patients</w:t>
            </w:r>
            <w:r w:rsidR="00AC5703">
              <w:tab/>
            </w:r>
            <w:r w:rsidR="00AC5703">
              <w:fldChar w:fldCharType="begin"/>
            </w:r>
            <w:r w:rsidR="00AC5703">
              <w:instrText>PAGEREF _Toc21847 \h</w:instrText>
            </w:r>
            <w:r w:rsidR="00AC5703">
              <w:fldChar w:fldCharType="separate"/>
            </w:r>
            <w:r w:rsidR="00AC5703">
              <w:t xml:space="preserve">10 </w:t>
            </w:r>
            <w:r w:rsidR="00AC5703">
              <w:fldChar w:fldCharType="end"/>
            </w:r>
          </w:hyperlink>
        </w:p>
        <w:p w14:paraId="13D06133" w14:textId="77777777" w:rsidR="00AC5703" w:rsidRDefault="009D0E4A" w:rsidP="00AC5703">
          <w:pPr>
            <w:pStyle w:val="TOC2"/>
            <w:tabs>
              <w:tab w:val="right" w:leader="dot" w:pos="9386"/>
            </w:tabs>
          </w:pPr>
          <w:hyperlink w:anchor="_Toc21848">
            <w:r w:rsidR="00AC5703">
              <w:t>5.2   Wider service user/patient reviews</w:t>
            </w:r>
            <w:r w:rsidR="00AC5703">
              <w:tab/>
            </w:r>
            <w:r w:rsidR="00AC5703">
              <w:fldChar w:fldCharType="begin"/>
            </w:r>
            <w:r w:rsidR="00AC5703">
              <w:instrText>PAGEREF _Toc21848 \h</w:instrText>
            </w:r>
            <w:r w:rsidR="00AC5703">
              <w:fldChar w:fldCharType="separate"/>
            </w:r>
            <w:r w:rsidR="00AC5703">
              <w:t xml:space="preserve">10 </w:t>
            </w:r>
            <w:r w:rsidR="00AC5703">
              <w:fldChar w:fldCharType="end"/>
            </w:r>
          </w:hyperlink>
        </w:p>
        <w:p w14:paraId="3C2DAFAE" w14:textId="77777777" w:rsidR="00AC5703" w:rsidRDefault="009D0E4A" w:rsidP="00AC5703">
          <w:pPr>
            <w:pStyle w:val="TOC2"/>
            <w:tabs>
              <w:tab w:val="right" w:leader="dot" w:pos="9386"/>
            </w:tabs>
          </w:pPr>
          <w:hyperlink w:anchor="_Toc21849">
            <w:r w:rsidR="00AC5703">
              <w:t>5.3   Media Interest</w:t>
            </w:r>
            <w:r w:rsidR="00AC5703">
              <w:tab/>
            </w:r>
            <w:r w:rsidR="00AC5703">
              <w:fldChar w:fldCharType="begin"/>
            </w:r>
            <w:r w:rsidR="00AC5703">
              <w:instrText>PAGEREF _Toc21849 \h</w:instrText>
            </w:r>
            <w:r w:rsidR="00AC5703">
              <w:fldChar w:fldCharType="separate"/>
            </w:r>
            <w:r w:rsidR="00AC5703">
              <w:t xml:space="preserve">10 </w:t>
            </w:r>
            <w:r w:rsidR="00AC5703">
              <w:fldChar w:fldCharType="end"/>
            </w:r>
          </w:hyperlink>
        </w:p>
        <w:p w14:paraId="3FB96AFF" w14:textId="77777777" w:rsidR="00AC5703" w:rsidRDefault="009D0E4A" w:rsidP="00AC5703">
          <w:pPr>
            <w:pStyle w:val="TOC2"/>
            <w:tabs>
              <w:tab w:val="right" w:leader="dot" w:pos="9386"/>
            </w:tabs>
          </w:pPr>
          <w:hyperlink w:anchor="_Toc21850">
            <w:r w:rsidR="00AC5703">
              <w:t>5.4   Police Involvement</w:t>
            </w:r>
            <w:r w:rsidR="00AC5703">
              <w:tab/>
            </w:r>
            <w:r w:rsidR="00AC5703">
              <w:fldChar w:fldCharType="begin"/>
            </w:r>
            <w:r w:rsidR="00AC5703">
              <w:instrText>PAGEREF _Toc21850 \h</w:instrText>
            </w:r>
            <w:r w:rsidR="00AC5703">
              <w:fldChar w:fldCharType="separate"/>
            </w:r>
            <w:r w:rsidR="00AC5703">
              <w:t xml:space="preserve">10 </w:t>
            </w:r>
            <w:r w:rsidR="00AC5703">
              <w:fldChar w:fldCharType="end"/>
            </w:r>
          </w:hyperlink>
        </w:p>
        <w:p w14:paraId="474A88BC" w14:textId="77777777" w:rsidR="00AC5703" w:rsidRDefault="009D0E4A" w:rsidP="00AC5703">
          <w:pPr>
            <w:pStyle w:val="TOC1"/>
            <w:tabs>
              <w:tab w:val="right" w:leader="dot" w:pos="9386"/>
            </w:tabs>
          </w:pPr>
          <w:hyperlink w:anchor="_Toc21851">
            <w:r w:rsidR="00AC5703">
              <w:t>6.  Related Information</w:t>
            </w:r>
            <w:r w:rsidR="00AC5703">
              <w:tab/>
            </w:r>
            <w:r w:rsidR="00AC5703">
              <w:fldChar w:fldCharType="begin"/>
            </w:r>
            <w:r w:rsidR="00AC5703">
              <w:instrText>PAGEREF _Toc21851 \h</w:instrText>
            </w:r>
            <w:r w:rsidR="00AC5703">
              <w:fldChar w:fldCharType="separate"/>
            </w:r>
            <w:r w:rsidR="00AC5703">
              <w:t xml:space="preserve">11 </w:t>
            </w:r>
            <w:r w:rsidR="00AC5703">
              <w:fldChar w:fldCharType="end"/>
            </w:r>
          </w:hyperlink>
        </w:p>
        <w:p w14:paraId="116C74CF" w14:textId="77777777" w:rsidR="00AC5703" w:rsidRDefault="009D0E4A" w:rsidP="00AC5703">
          <w:pPr>
            <w:pStyle w:val="TOC2"/>
            <w:tabs>
              <w:tab w:val="right" w:leader="dot" w:pos="9386"/>
            </w:tabs>
          </w:pPr>
          <w:hyperlink w:anchor="_Toc21852">
            <w:r w:rsidR="00AC5703">
              <w:t>6.1  Identifying organisational abuse</w:t>
            </w:r>
            <w:r w:rsidR="00AC5703">
              <w:tab/>
            </w:r>
            <w:r w:rsidR="00AC5703">
              <w:fldChar w:fldCharType="begin"/>
            </w:r>
            <w:r w:rsidR="00AC5703">
              <w:instrText>PAGEREF _Toc21852 \h</w:instrText>
            </w:r>
            <w:r w:rsidR="00AC5703">
              <w:fldChar w:fldCharType="separate"/>
            </w:r>
            <w:r w:rsidR="00AC5703">
              <w:t xml:space="preserve">11 </w:t>
            </w:r>
            <w:r w:rsidR="00AC5703">
              <w:fldChar w:fldCharType="end"/>
            </w:r>
          </w:hyperlink>
        </w:p>
        <w:p w14:paraId="08C9DAE1" w14:textId="77777777" w:rsidR="00AC5703" w:rsidRDefault="009D0E4A" w:rsidP="00AC5703">
          <w:pPr>
            <w:pStyle w:val="TOC2"/>
            <w:tabs>
              <w:tab w:val="right" w:leader="dot" w:pos="9386"/>
            </w:tabs>
          </w:pPr>
          <w:hyperlink w:anchor="_Toc21853">
            <w:r w:rsidR="00AC5703">
              <w:t>6.2  Out of area placements</w:t>
            </w:r>
            <w:r w:rsidR="00AC5703">
              <w:tab/>
            </w:r>
            <w:r w:rsidR="00AC5703">
              <w:fldChar w:fldCharType="begin"/>
            </w:r>
            <w:r w:rsidR="00AC5703">
              <w:instrText>PAGEREF _Toc21853 \h</w:instrText>
            </w:r>
            <w:r w:rsidR="00AC5703">
              <w:fldChar w:fldCharType="separate"/>
            </w:r>
            <w:r w:rsidR="00AC5703">
              <w:t xml:space="preserve">11 </w:t>
            </w:r>
            <w:r w:rsidR="00AC5703">
              <w:fldChar w:fldCharType="end"/>
            </w:r>
          </w:hyperlink>
        </w:p>
        <w:p w14:paraId="42DEADA0" w14:textId="77777777" w:rsidR="00AC5703" w:rsidRDefault="009D0E4A" w:rsidP="00AC5703">
          <w:pPr>
            <w:pStyle w:val="TOC2"/>
            <w:tabs>
              <w:tab w:val="right" w:leader="dot" w:pos="9386"/>
            </w:tabs>
          </w:pPr>
          <w:hyperlink w:anchor="_Toc21854">
            <w:r w:rsidR="00AC5703">
              <w:t>6.3  The role of Care Quality Commission (CQC)</w:t>
            </w:r>
            <w:r w:rsidR="00AC5703">
              <w:tab/>
            </w:r>
            <w:r w:rsidR="00AC5703">
              <w:fldChar w:fldCharType="begin"/>
            </w:r>
            <w:r w:rsidR="00AC5703">
              <w:instrText>PAGEREF _Toc21854 \h</w:instrText>
            </w:r>
            <w:r w:rsidR="00AC5703">
              <w:fldChar w:fldCharType="separate"/>
            </w:r>
            <w:r w:rsidR="00AC5703">
              <w:t xml:space="preserve">12 </w:t>
            </w:r>
            <w:r w:rsidR="00AC5703">
              <w:fldChar w:fldCharType="end"/>
            </w:r>
          </w:hyperlink>
        </w:p>
        <w:p w14:paraId="73B79C54" w14:textId="77777777" w:rsidR="00AC5703" w:rsidRDefault="009D0E4A" w:rsidP="00AC5703">
          <w:pPr>
            <w:pStyle w:val="TOC2"/>
            <w:tabs>
              <w:tab w:val="right" w:leader="dot" w:pos="9386"/>
            </w:tabs>
          </w:pPr>
          <w:hyperlink w:anchor="_Toc21855">
            <w:r w:rsidR="00AC5703">
              <w:t>6.4  The role of commissioning organisations</w:t>
            </w:r>
            <w:r w:rsidR="00AC5703">
              <w:tab/>
            </w:r>
            <w:r w:rsidR="00AC5703">
              <w:fldChar w:fldCharType="begin"/>
            </w:r>
            <w:r w:rsidR="00AC5703">
              <w:instrText>PAGEREF _Toc21855 \h</w:instrText>
            </w:r>
            <w:r w:rsidR="00AC5703">
              <w:fldChar w:fldCharType="separate"/>
            </w:r>
            <w:r w:rsidR="00AC5703">
              <w:t xml:space="preserve">13 </w:t>
            </w:r>
            <w:r w:rsidR="00AC5703">
              <w:fldChar w:fldCharType="end"/>
            </w:r>
          </w:hyperlink>
          <w:r w:rsidR="00AC5703">
            <w:t xml:space="preserve">  </w:t>
          </w:r>
        </w:p>
        <w:p w14:paraId="65F52E1C" w14:textId="77777777" w:rsidR="00AC5703" w:rsidRDefault="00AC5703" w:rsidP="00AC5703">
          <w:pPr>
            <w:pStyle w:val="TOC2"/>
            <w:tabs>
              <w:tab w:val="right" w:leader="dot" w:pos="9386"/>
            </w:tabs>
          </w:pPr>
        </w:p>
        <w:p w14:paraId="09F6E215" w14:textId="77777777" w:rsidR="00AC5703" w:rsidRDefault="00AC5703" w:rsidP="00AC5703">
          <w:r>
            <w:fldChar w:fldCharType="end"/>
          </w:r>
        </w:p>
      </w:sdtContent>
    </w:sdt>
    <w:p w14:paraId="74C092ED" w14:textId="77777777" w:rsidR="00AC5703" w:rsidRDefault="00AC5703" w:rsidP="00AC5703">
      <w:pPr>
        <w:spacing w:after="3495" w:line="259" w:lineRule="auto"/>
        <w:ind w:left="0" w:firstLine="0"/>
        <w:jc w:val="center"/>
        <w:rPr>
          <w:sz w:val="20"/>
        </w:rPr>
      </w:pPr>
    </w:p>
    <w:p w14:paraId="5F4C0769" w14:textId="1AD17E0B" w:rsidR="00AC5703" w:rsidRDefault="00AC5703" w:rsidP="00AC5703">
      <w:pPr>
        <w:spacing w:after="3495" w:line="259" w:lineRule="auto"/>
        <w:ind w:left="0" w:firstLine="0"/>
        <w:jc w:val="center"/>
      </w:pPr>
    </w:p>
    <w:p w14:paraId="02C52170" w14:textId="77777777" w:rsidR="00AC5703" w:rsidRDefault="00AC5703" w:rsidP="00AC5703">
      <w:pPr>
        <w:pStyle w:val="Heading1"/>
        <w:ind w:left="668" w:hanging="360"/>
      </w:pPr>
      <w:bookmarkStart w:id="0" w:name="_Toc21834"/>
      <w:r>
        <w:lastRenderedPageBreak/>
        <w:t xml:space="preserve">Introduction  </w:t>
      </w:r>
      <w:bookmarkEnd w:id="0"/>
    </w:p>
    <w:p w14:paraId="5FA07471" w14:textId="77777777" w:rsidR="00AC5703" w:rsidRDefault="00AC5703" w:rsidP="00AC5703">
      <w:pPr>
        <w:spacing w:after="0" w:line="259" w:lineRule="auto"/>
        <w:ind w:left="308" w:firstLine="0"/>
      </w:pPr>
      <w:r>
        <w:rPr>
          <w:sz w:val="22"/>
        </w:rPr>
        <w:t xml:space="preserve"> </w:t>
      </w:r>
    </w:p>
    <w:p w14:paraId="299FFA15" w14:textId="1AB7C278" w:rsidR="00AC5703" w:rsidRPr="00BD58E8" w:rsidRDefault="00AC5703" w:rsidP="00AC5703">
      <w:pPr>
        <w:ind w:right="162"/>
        <w:rPr>
          <w:color w:val="000000" w:themeColor="text1"/>
        </w:rPr>
      </w:pPr>
      <w:r w:rsidRPr="00BD58E8">
        <w:rPr>
          <w:color w:val="000000" w:themeColor="text1"/>
        </w:rPr>
        <w:t xml:space="preserve">Organisational Safeguarding Enquiries have an important role in understanding and responding to concerns about organisational abuse or neglect. They provide an opportunity to review </w:t>
      </w:r>
      <w:r w:rsidR="00C46611" w:rsidRPr="00BD58E8">
        <w:rPr>
          <w:color w:val="000000" w:themeColor="text1"/>
        </w:rPr>
        <w:t>several</w:t>
      </w:r>
      <w:r w:rsidRPr="00BD58E8">
        <w:rPr>
          <w:color w:val="000000" w:themeColor="text1"/>
        </w:rPr>
        <w:t xml:space="preserve"> individual safeguarding enquiries together, to identify patterns and underlying causes of abuse and neglect, and to identify the learning and measures needed to safeguard people who use that service.  </w:t>
      </w:r>
    </w:p>
    <w:p w14:paraId="7949B8BD" w14:textId="77777777" w:rsidR="00AC5703" w:rsidRPr="00BD58E8" w:rsidRDefault="00AC5703" w:rsidP="00AC5703">
      <w:pPr>
        <w:spacing w:after="0" w:line="259" w:lineRule="auto"/>
        <w:ind w:left="308" w:firstLine="0"/>
        <w:rPr>
          <w:color w:val="000000" w:themeColor="text1"/>
        </w:rPr>
      </w:pPr>
      <w:r w:rsidRPr="00BD58E8">
        <w:rPr>
          <w:color w:val="000000" w:themeColor="text1"/>
        </w:rPr>
        <w:t xml:space="preserve"> </w:t>
      </w:r>
    </w:p>
    <w:p w14:paraId="1C4124F2" w14:textId="77777777" w:rsidR="00AC5703" w:rsidRPr="00BD58E8" w:rsidRDefault="00AC5703" w:rsidP="00AC5703">
      <w:pPr>
        <w:spacing w:after="101" w:line="259" w:lineRule="auto"/>
        <w:ind w:left="308" w:firstLine="0"/>
        <w:rPr>
          <w:color w:val="000000" w:themeColor="text1"/>
        </w:rPr>
      </w:pPr>
      <w:r w:rsidRPr="00BD58E8">
        <w:rPr>
          <w:color w:val="000000" w:themeColor="text1"/>
        </w:rPr>
        <w:t>Adult safeguarding occurs within the legal framework of the Care Act 2014 and the Care and Support Statutory Guidance. Chapter 14.7 of the guidance outlines what adult safeguarding is and why it matters:</w:t>
      </w:r>
    </w:p>
    <w:p w14:paraId="0A331C2D" w14:textId="77777777" w:rsidR="00AC5703" w:rsidRPr="00BD58E8" w:rsidRDefault="00AC5703" w:rsidP="00AC5703">
      <w:pPr>
        <w:spacing w:after="101" w:line="259" w:lineRule="auto"/>
        <w:ind w:left="308" w:firstLine="0"/>
        <w:rPr>
          <w:color w:val="000000" w:themeColor="text1"/>
        </w:rPr>
      </w:pPr>
      <w:r w:rsidRPr="00BD58E8">
        <w:rPr>
          <w:color w:val="000000" w:themeColor="text1"/>
        </w:rPr>
        <w:t xml:space="preserve"> “Safeguarding means protecting an adult’s right to live in safety, free from abuse and neglect. It is about people and organisations working together to prevent and stop both the risks and experience of abuse or neglect, whilst at the same time making sure that the adult’s wellbeing is promoted….”</w:t>
      </w:r>
      <w:r w:rsidRPr="00BD58E8">
        <w:rPr>
          <w:color w:val="000000" w:themeColor="text1"/>
          <w:sz w:val="10"/>
        </w:rPr>
        <w:tab/>
        <w:t xml:space="preserve"> </w:t>
      </w:r>
    </w:p>
    <w:p w14:paraId="65CCB007" w14:textId="6816568C" w:rsidR="00AC5703" w:rsidRPr="00BD58E8" w:rsidRDefault="00AC5703" w:rsidP="00AC5703">
      <w:pPr>
        <w:ind w:right="162"/>
        <w:rPr>
          <w:color w:val="000000" w:themeColor="text1"/>
        </w:rPr>
      </w:pPr>
      <w:r w:rsidRPr="00BD58E8">
        <w:rPr>
          <w:color w:val="000000" w:themeColor="text1"/>
        </w:rPr>
        <w:t xml:space="preserve">This practice guidance sets out a framework for considering when an Organisational Safeguarding Enquiry might be necessary. However, </w:t>
      </w:r>
      <w:r w:rsidR="00074965" w:rsidRPr="00431AE7">
        <w:rPr>
          <w:color w:val="000000" w:themeColor="text1"/>
        </w:rPr>
        <w:t>the OSE</w:t>
      </w:r>
      <w:r w:rsidRPr="00431AE7">
        <w:rPr>
          <w:color w:val="000000" w:themeColor="text1"/>
        </w:rPr>
        <w:t xml:space="preserve"> Coordinator</w:t>
      </w:r>
      <w:r w:rsidRPr="00BD58E8">
        <w:rPr>
          <w:color w:val="000000" w:themeColor="text1"/>
        </w:rPr>
        <w:t xml:space="preserve"> will need to apply professional judgment and take a proportionate approach depending on the specific circumstan</w:t>
      </w:r>
      <w:r>
        <w:rPr>
          <w:color w:val="000000" w:themeColor="text1"/>
        </w:rPr>
        <w:t xml:space="preserve">ces. </w:t>
      </w:r>
      <w:r w:rsidRPr="009C6A48">
        <w:rPr>
          <w:color w:val="000000" w:themeColor="text1"/>
        </w:rPr>
        <w:t>This is likely to include consultation with multi-agency partners.</w:t>
      </w:r>
      <w:r>
        <w:rPr>
          <w:color w:val="000000" w:themeColor="text1"/>
        </w:rPr>
        <w:t xml:space="preserve"> </w:t>
      </w:r>
    </w:p>
    <w:p w14:paraId="7889F9E5" w14:textId="77777777" w:rsidR="00AC5703" w:rsidRPr="00BD58E8" w:rsidRDefault="00AC5703" w:rsidP="00AC5703">
      <w:pPr>
        <w:ind w:right="162"/>
        <w:rPr>
          <w:color w:val="000000" w:themeColor="text1"/>
          <w:szCs w:val="21"/>
        </w:rPr>
      </w:pPr>
    </w:p>
    <w:p w14:paraId="6044C1F9" w14:textId="2748F5F6" w:rsidR="00AC5703" w:rsidRDefault="00AC5703" w:rsidP="00AC5703">
      <w:pPr>
        <w:ind w:right="162"/>
        <w:rPr>
          <w:rFonts w:eastAsia="Times New Roman" w:cs="Arial"/>
          <w:color w:val="0B0C0C"/>
          <w:szCs w:val="21"/>
        </w:rPr>
      </w:pPr>
      <w:r w:rsidRPr="0005201A">
        <w:rPr>
          <w:szCs w:val="21"/>
        </w:rPr>
        <w:t xml:space="preserve">This practice guidance </w:t>
      </w:r>
      <w:r w:rsidR="00D701A0">
        <w:rPr>
          <w:szCs w:val="21"/>
        </w:rPr>
        <w:t>must</w:t>
      </w:r>
      <w:r w:rsidRPr="0005201A">
        <w:rPr>
          <w:szCs w:val="21"/>
        </w:rPr>
        <w:t xml:space="preserve"> be read alongside the </w:t>
      </w:r>
      <w:r w:rsidRPr="0005201A">
        <w:rPr>
          <w:rFonts w:eastAsia="Times New Roman" w:cs="Arial"/>
          <w:color w:val="0B0C0C"/>
          <w:szCs w:val="21"/>
        </w:rPr>
        <w:t>Joint Multi-Agency Safeguarding Adults Policy and Procedures.</w:t>
      </w:r>
    </w:p>
    <w:p w14:paraId="48D249FE" w14:textId="77777777" w:rsidR="00AC5703" w:rsidRPr="0005201A" w:rsidRDefault="00AC5703" w:rsidP="00AC5703">
      <w:pPr>
        <w:ind w:right="162"/>
        <w:rPr>
          <w:szCs w:val="21"/>
        </w:rPr>
      </w:pPr>
    </w:p>
    <w:p w14:paraId="466D7BA0" w14:textId="77777777" w:rsidR="00AC5703" w:rsidRDefault="00AC5703" w:rsidP="00AC5703">
      <w:pPr>
        <w:spacing w:after="31" w:line="259" w:lineRule="auto"/>
        <w:ind w:left="308" w:firstLine="0"/>
      </w:pPr>
      <w:r>
        <w:rPr>
          <w:sz w:val="22"/>
        </w:rPr>
        <w:t xml:space="preserve"> </w:t>
      </w:r>
    </w:p>
    <w:p w14:paraId="712C879B" w14:textId="77777777" w:rsidR="00AC5703" w:rsidRDefault="00AC5703" w:rsidP="00AC5703">
      <w:pPr>
        <w:pStyle w:val="Heading1"/>
        <w:ind w:left="668" w:hanging="360"/>
      </w:pPr>
      <w:bookmarkStart w:id="1" w:name="_Toc21835"/>
      <w:r>
        <w:t xml:space="preserve">Organisational Safeguarding Enquiries </w:t>
      </w:r>
      <w:bookmarkEnd w:id="1"/>
    </w:p>
    <w:p w14:paraId="545B4762" w14:textId="77777777" w:rsidR="00AC5703" w:rsidRDefault="00AC5703" w:rsidP="00AC5703"/>
    <w:p w14:paraId="4CCE6107" w14:textId="77777777" w:rsidR="00AC5703" w:rsidRPr="00BD58E8" w:rsidRDefault="00AC5703" w:rsidP="00AC5703">
      <w:pPr>
        <w:rPr>
          <w:b/>
          <w:color w:val="auto"/>
        </w:rPr>
      </w:pPr>
      <w:r w:rsidRPr="00BD58E8">
        <w:rPr>
          <w:b/>
          <w:color w:val="auto"/>
        </w:rPr>
        <w:t xml:space="preserve">Definition of ‘Organisational Abuse’ </w:t>
      </w:r>
    </w:p>
    <w:p w14:paraId="246D2EFF" w14:textId="77777777" w:rsidR="00AC5703" w:rsidRPr="00BD58E8" w:rsidRDefault="00AC5703" w:rsidP="00AC5703">
      <w:pPr>
        <w:rPr>
          <w:color w:val="auto"/>
        </w:rPr>
      </w:pPr>
    </w:p>
    <w:p w14:paraId="0BB0C43B" w14:textId="77777777" w:rsidR="00AC5703" w:rsidRPr="00BD58E8" w:rsidRDefault="00AC5703" w:rsidP="00AC5703">
      <w:pPr>
        <w:rPr>
          <w:color w:val="auto"/>
        </w:rPr>
      </w:pPr>
      <w:r w:rsidRPr="00BD58E8">
        <w:rPr>
          <w:color w:val="auto"/>
        </w:rPr>
        <w:t>The Joint M</w:t>
      </w:r>
      <w:r>
        <w:rPr>
          <w:color w:val="auto"/>
        </w:rPr>
        <w:t>ulti-A</w:t>
      </w:r>
      <w:r w:rsidRPr="00BD58E8">
        <w:rPr>
          <w:color w:val="auto"/>
        </w:rPr>
        <w:t xml:space="preserve">gency Safeguarding Adults Policy and Procedure defines organisational abuse as: </w:t>
      </w:r>
    </w:p>
    <w:p w14:paraId="1764CBE0" w14:textId="77777777" w:rsidR="00AC5703" w:rsidRPr="00BD58E8" w:rsidRDefault="00AC5703" w:rsidP="00AC5703">
      <w:pPr>
        <w:rPr>
          <w:color w:val="auto"/>
        </w:rPr>
      </w:pPr>
    </w:p>
    <w:p w14:paraId="10EE0BF2" w14:textId="77777777" w:rsidR="00AC5703" w:rsidRPr="00BD58E8" w:rsidRDefault="00AC5703" w:rsidP="00AC5703">
      <w:pPr>
        <w:rPr>
          <w:color w:val="auto"/>
        </w:rPr>
      </w:pPr>
      <w:r w:rsidRPr="00BD58E8">
        <w:rPr>
          <w:color w:val="auto"/>
        </w:rPr>
        <w:t xml:space="preserve"> “…the mistreatment, abuse or neglect of an adult at risk by a regime or </w:t>
      </w:r>
      <w:r w:rsidRPr="007136C8">
        <w:rPr>
          <w:color w:val="auto"/>
        </w:rPr>
        <w:t>individuals in a setting or service where the adult lives or that they use. Such abuse violates the person’s dignity and represents a lack of respect for their human rights.”</w:t>
      </w:r>
      <w:r w:rsidRPr="00BD58E8">
        <w:rPr>
          <w:color w:val="auto"/>
        </w:rPr>
        <w:t xml:space="preserve"> </w:t>
      </w:r>
    </w:p>
    <w:p w14:paraId="174D05E7" w14:textId="77777777" w:rsidR="00AC5703" w:rsidRPr="00BD58E8" w:rsidRDefault="00AC5703" w:rsidP="00AC5703">
      <w:pPr>
        <w:rPr>
          <w:color w:val="auto"/>
        </w:rPr>
      </w:pPr>
    </w:p>
    <w:p w14:paraId="00E8313C" w14:textId="77777777" w:rsidR="00AC5703" w:rsidRPr="00BD58E8" w:rsidRDefault="00AC5703" w:rsidP="00AC5703">
      <w:pPr>
        <w:rPr>
          <w:color w:val="auto"/>
        </w:rPr>
      </w:pPr>
      <w:r w:rsidRPr="00BD58E8">
        <w:rPr>
          <w:color w:val="auto"/>
        </w:rPr>
        <w:t>Chapter 14.17</w:t>
      </w:r>
      <w:r>
        <w:rPr>
          <w:color w:val="auto"/>
        </w:rPr>
        <w:t xml:space="preserve"> of the </w:t>
      </w:r>
      <w:r w:rsidRPr="00BD58E8">
        <w:rPr>
          <w:color w:val="000000" w:themeColor="text1"/>
        </w:rPr>
        <w:t>Care and Support Statutory Guidance</w:t>
      </w:r>
      <w:r w:rsidRPr="00BD58E8">
        <w:rPr>
          <w:color w:val="auto"/>
        </w:rPr>
        <w:t xml:space="preserve"> </w:t>
      </w:r>
      <w:r>
        <w:rPr>
          <w:color w:val="auto"/>
        </w:rPr>
        <w:t xml:space="preserve">(CSSG) </w:t>
      </w:r>
      <w:r w:rsidRPr="00BD58E8">
        <w:rPr>
          <w:color w:val="auto"/>
        </w:rPr>
        <w:t>defines organisational abuse as:</w:t>
      </w:r>
    </w:p>
    <w:p w14:paraId="66B574C1" w14:textId="77777777" w:rsidR="00AC5703" w:rsidRPr="00BD58E8" w:rsidRDefault="00AC5703" w:rsidP="00AC5703">
      <w:pPr>
        <w:rPr>
          <w:color w:val="auto"/>
        </w:rPr>
      </w:pPr>
    </w:p>
    <w:p w14:paraId="5A4D0587" w14:textId="77777777" w:rsidR="00AC5703" w:rsidRPr="00BD58E8" w:rsidRDefault="00AC5703" w:rsidP="00AC5703">
      <w:pPr>
        <w:rPr>
          <w:color w:val="auto"/>
        </w:rPr>
      </w:pPr>
      <w:r w:rsidRPr="00BD58E8">
        <w:rPr>
          <w:color w:val="auto"/>
        </w:rPr>
        <w:t>“neglect and poor practices within an institution or specific care setting such as hospital or care home, for example, or in relation to care provided in one’s own home. This may range from one off incidents to ongoing ill-treatment</w:t>
      </w:r>
      <w:r w:rsidRPr="007136C8">
        <w:rPr>
          <w:color w:val="auto"/>
        </w:rPr>
        <w:t>. It can be through neglect or poor professional practice as a result of the structure, policies, processes and practices within an organisation”</w:t>
      </w:r>
    </w:p>
    <w:p w14:paraId="57D9E32F" w14:textId="77777777" w:rsidR="00AC5703" w:rsidRPr="00BD58E8" w:rsidRDefault="00AC5703" w:rsidP="00AC5703">
      <w:pPr>
        <w:spacing w:after="0" w:line="259" w:lineRule="auto"/>
        <w:ind w:left="308" w:firstLine="0"/>
        <w:rPr>
          <w:color w:val="auto"/>
        </w:rPr>
      </w:pPr>
      <w:r w:rsidRPr="00BD58E8">
        <w:rPr>
          <w:color w:val="auto"/>
          <w:sz w:val="22"/>
        </w:rPr>
        <w:t xml:space="preserve"> </w:t>
      </w:r>
    </w:p>
    <w:p w14:paraId="5CED656D" w14:textId="77777777" w:rsidR="00AC5703" w:rsidRPr="00BD58E8" w:rsidRDefault="00AC5703" w:rsidP="00AC5703">
      <w:pPr>
        <w:ind w:right="162"/>
        <w:rPr>
          <w:color w:val="auto"/>
        </w:rPr>
      </w:pPr>
      <w:r w:rsidRPr="00BD58E8">
        <w:rPr>
          <w:color w:val="auto"/>
        </w:rPr>
        <w:t xml:space="preserve">An Organisational Safeguarding Enquiry is an overarching safeguarding enquiry that should be considered when there are concerns about organisational abuse. </w:t>
      </w:r>
    </w:p>
    <w:p w14:paraId="1A590142" w14:textId="77777777" w:rsidR="00AC5703" w:rsidRPr="00BD58E8" w:rsidRDefault="00AC5703" w:rsidP="00AC5703">
      <w:pPr>
        <w:spacing w:after="0" w:line="259" w:lineRule="auto"/>
        <w:rPr>
          <w:color w:val="auto"/>
        </w:rPr>
      </w:pPr>
    </w:p>
    <w:p w14:paraId="639201B6" w14:textId="77777777" w:rsidR="00AC5703" w:rsidRPr="00BD58E8" w:rsidRDefault="00AC5703" w:rsidP="00AC5703">
      <w:pPr>
        <w:spacing w:after="0" w:line="259" w:lineRule="auto"/>
        <w:ind w:left="308" w:firstLine="0"/>
        <w:rPr>
          <w:color w:val="auto"/>
        </w:rPr>
      </w:pPr>
      <w:r w:rsidRPr="00BD58E8">
        <w:rPr>
          <w:color w:val="auto"/>
        </w:rPr>
        <w:t xml:space="preserve">Chapter 14.18 </w:t>
      </w:r>
      <w:r>
        <w:rPr>
          <w:color w:val="auto"/>
        </w:rPr>
        <w:t xml:space="preserve">CSSG </w:t>
      </w:r>
      <w:r w:rsidRPr="00BD58E8">
        <w:rPr>
          <w:color w:val="auto"/>
        </w:rPr>
        <w:t xml:space="preserve">states: </w:t>
      </w:r>
    </w:p>
    <w:p w14:paraId="7358A0EB" w14:textId="77777777" w:rsidR="00AC5703" w:rsidRPr="00BD58E8" w:rsidRDefault="00AC5703" w:rsidP="00AC5703">
      <w:pPr>
        <w:ind w:left="303"/>
        <w:rPr>
          <w:color w:val="auto"/>
        </w:rPr>
      </w:pPr>
    </w:p>
    <w:p w14:paraId="2A22569A" w14:textId="77777777" w:rsidR="00AC5703" w:rsidRPr="007136C8" w:rsidRDefault="00AC5703" w:rsidP="00AC5703">
      <w:pPr>
        <w:ind w:left="303"/>
        <w:rPr>
          <w:color w:val="auto"/>
        </w:rPr>
      </w:pPr>
      <w:r w:rsidRPr="00BD58E8">
        <w:rPr>
          <w:color w:val="auto"/>
        </w:rPr>
        <w:t xml:space="preserve">“Professionals and others should look beyond single incidents or individuals </w:t>
      </w:r>
      <w:r w:rsidRPr="007136C8">
        <w:rPr>
          <w:color w:val="auto"/>
        </w:rPr>
        <w:t xml:space="preserve">to identify patterns of harm”. </w:t>
      </w:r>
    </w:p>
    <w:p w14:paraId="026115E9" w14:textId="77777777" w:rsidR="00AC5703" w:rsidRPr="007136C8" w:rsidRDefault="00AC5703" w:rsidP="00AC5703">
      <w:pPr>
        <w:spacing w:after="0" w:line="259" w:lineRule="auto"/>
        <w:ind w:left="308" w:firstLine="0"/>
        <w:rPr>
          <w:color w:val="auto"/>
        </w:rPr>
      </w:pPr>
      <w:r w:rsidRPr="007136C8">
        <w:rPr>
          <w:color w:val="auto"/>
        </w:rPr>
        <w:t xml:space="preserve"> </w:t>
      </w:r>
    </w:p>
    <w:p w14:paraId="61923574" w14:textId="67D85061" w:rsidR="00AC5703" w:rsidRPr="007136C8" w:rsidRDefault="00AC5703" w:rsidP="00AC5703">
      <w:pPr>
        <w:ind w:right="162"/>
        <w:rPr>
          <w:color w:val="auto"/>
        </w:rPr>
      </w:pPr>
      <w:r w:rsidRPr="007136C8">
        <w:rPr>
          <w:color w:val="auto"/>
        </w:rPr>
        <w:t xml:space="preserve">An Organisational Safeguarding Enquiry enables </w:t>
      </w:r>
      <w:r w:rsidR="00C46611" w:rsidRPr="007136C8">
        <w:rPr>
          <w:color w:val="auto"/>
        </w:rPr>
        <w:t>a few</w:t>
      </w:r>
      <w:r w:rsidRPr="007136C8">
        <w:rPr>
          <w:color w:val="auto"/>
        </w:rPr>
        <w:t xml:space="preserve"> individual safeguarding enquiries to be considered together in a way that helps to identify organisational </w:t>
      </w:r>
      <w:r w:rsidRPr="007136C8">
        <w:rPr>
          <w:color w:val="auto"/>
        </w:rPr>
        <w:lastRenderedPageBreak/>
        <w:t xml:space="preserve">abuse or neglect, and the measures needed to improve practice and prevent its reoccurrence.  </w:t>
      </w:r>
    </w:p>
    <w:p w14:paraId="41198A9F" w14:textId="77777777" w:rsidR="00AC5703" w:rsidRPr="007136C8" w:rsidRDefault="00AC5703" w:rsidP="00AC5703">
      <w:pPr>
        <w:spacing w:after="0" w:line="259" w:lineRule="auto"/>
        <w:ind w:left="308" w:firstLine="0"/>
        <w:rPr>
          <w:color w:val="4472C4" w:themeColor="accent1"/>
        </w:rPr>
      </w:pPr>
      <w:r w:rsidRPr="007136C8">
        <w:rPr>
          <w:color w:val="4472C4" w:themeColor="accent1"/>
        </w:rPr>
        <w:t xml:space="preserve"> </w:t>
      </w:r>
    </w:p>
    <w:p w14:paraId="0BE7BA53" w14:textId="31327222" w:rsidR="00AC5703" w:rsidRDefault="00AC5703" w:rsidP="00AC5703">
      <w:pPr>
        <w:ind w:right="162"/>
        <w:rPr>
          <w:color w:val="auto"/>
        </w:rPr>
      </w:pPr>
      <w:r w:rsidRPr="007136C8">
        <w:rPr>
          <w:color w:val="auto"/>
        </w:rPr>
        <w:t xml:space="preserve">Where abuse or neglect arises due to underlying reasons, relating to the structure, policies, </w:t>
      </w:r>
      <w:r w:rsidR="00C46611" w:rsidRPr="007136C8">
        <w:rPr>
          <w:color w:val="auto"/>
        </w:rPr>
        <w:t>processes,</w:t>
      </w:r>
      <w:r w:rsidRPr="007136C8">
        <w:rPr>
          <w:color w:val="auto"/>
        </w:rPr>
        <w:t xml:space="preserve"> and practices within an organisation it might be considered organisational abuse. The Care Act 2014 sought to clearly</w:t>
      </w:r>
      <w:r w:rsidRPr="00BD58E8">
        <w:rPr>
          <w:color w:val="auto"/>
        </w:rPr>
        <w:t xml:space="preserve"> differentiate between </w:t>
      </w:r>
      <w:r w:rsidR="00C46611" w:rsidRPr="00BD58E8">
        <w:rPr>
          <w:color w:val="auto"/>
        </w:rPr>
        <w:t>quality-of-service</w:t>
      </w:r>
      <w:r w:rsidRPr="00BD58E8">
        <w:rPr>
          <w:color w:val="auto"/>
        </w:rPr>
        <w:t xml:space="preserve"> issues and abuse or neglect, </w:t>
      </w:r>
      <w:r w:rsidRPr="007136C8">
        <w:rPr>
          <w:color w:val="auto"/>
        </w:rPr>
        <w:t>with quality issues like mistakes and errors to be treated as such, and only actual abuse triggering an enquiry.</w:t>
      </w:r>
      <w:r w:rsidRPr="00BD58E8">
        <w:rPr>
          <w:color w:val="auto"/>
        </w:rPr>
        <w:t xml:space="preserve"> Responding to </w:t>
      </w:r>
      <w:r w:rsidR="00C46611" w:rsidRPr="00BD58E8">
        <w:rPr>
          <w:color w:val="auto"/>
        </w:rPr>
        <w:t>quality-of-service</w:t>
      </w:r>
      <w:r w:rsidRPr="00BD58E8">
        <w:rPr>
          <w:color w:val="auto"/>
        </w:rPr>
        <w:t xml:space="preserve"> issues is an important preventative measure to help ensure mistakes do not develop into abusive situations. </w:t>
      </w:r>
      <w:r>
        <w:rPr>
          <w:color w:val="auto"/>
        </w:rPr>
        <w:t xml:space="preserve">For resources and tools to assist with decision making and intervention, please see </w:t>
      </w:r>
      <w:hyperlink r:id="rId8" w:history="1">
        <w:r w:rsidRPr="006B04D4">
          <w:rPr>
            <w:rStyle w:val="Hyperlink"/>
          </w:rPr>
          <w:t>www.saferbradford.co.uk/adults</w:t>
        </w:r>
      </w:hyperlink>
    </w:p>
    <w:p w14:paraId="53E3BD58" w14:textId="77777777" w:rsidR="00AC5703" w:rsidRPr="00BD58E8" w:rsidRDefault="00AC5703" w:rsidP="00AC5703">
      <w:pPr>
        <w:ind w:right="162"/>
        <w:rPr>
          <w:color w:val="auto"/>
        </w:rPr>
      </w:pPr>
    </w:p>
    <w:p w14:paraId="62E3C5D6" w14:textId="77777777" w:rsidR="00AC5703" w:rsidRPr="00BD58E8" w:rsidRDefault="00AC5703" w:rsidP="00AC5703">
      <w:pPr>
        <w:ind w:right="162"/>
        <w:rPr>
          <w:color w:val="auto"/>
        </w:rPr>
      </w:pPr>
    </w:p>
    <w:p w14:paraId="5729A005" w14:textId="7E824A8F" w:rsidR="00AC5703" w:rsidRDefault="00AC5703" w:rsidP="00AC5703">
      <w:pPr>
        <w:ind w:left="308" w:right="162" w:firstLine="0"/>
        <w:rPr>
          <w:color w:val="auto"/>
        </w:rPr>
      </w:pPr>
      <w:r w:rsidRPr="00BD58E8">
        <w:rPr>
          <w:color w:val="auto"/>
        </w:rPr>
        <w:t>Across the district there are various multi-agency quality</w:t>
      </w:r>
      <w:r w:rsidR="00C46611">
        <w:rPr>
          <w:color w:val="auto"/>
        </w:rPr>
        <w:t>-</w:t>
      </w:r>
      <w:r w:rsidRPr="00BD58E8">
        <w:rPr>
          <w:color w:val="auto"/>
        </w:rPr>
        <w:t>of</w:t>
      </w:r>
      <w:r w:rsidR="00C46611">
        <w:rPr>
          <w:color w:val="auto"/>
        </w:rPr>
        <w:t>-</w:t>
      </w:r>
      <w:r w:rsidRPr="00BD58E8">
        <w:rPr>
          <w:color w:val="auto"/>
        </w:rPr>
        <w:t xml:space="preserve">service forums, which </w:t>
      </w:r>
      <w:r w:rsidR="00C46611">
        <w:rPr>
          <w:color w:val="auto"/>
        </w:rPr>
        <w:t>review and consider</w:t>
      </w:r>
      <w:r w:rsidRPr="00BD58E8">
        <w:rPr>
          <w:color w:val="auto"/>
        </w:rPr>
        <w:t xml:space="preserve"> intelligence </w:t>
      </w:r>
      <w:r w:rsidR="00C46611">
        <w:rPr>
          <w:color w:val="auto"/>
        </w:rPr>
        <w:t xml:space="preserve">held </w:t>
      </w:r>
      <w:r w:rsidRPr="00BD58E8">
        <w:rPr>
          <w:color w:val="auto"/>
        </w:rPr>
        <w:t xml:space="preserve">on the quality of providers’ services with the aim </w:t>
      </w:r>
      <w:r w:rsidR="00C46611">
        <w:rPr>
          <w:color w:val="auto"/>
        </w:rPr>
        <w:t>of</w:t>
      </w:r>
      <w:r w:rsidRPr="00BD58E8">
        <w:rPr>
          <w:color w:val="auto"/>
        </w:rPr>
        <w:t xml:space="preserve"> interven</w:t>
      </w:r>
      <w:r w:rsidR="00C46611">
        <w:rPr>
          <w:color w:val="auto"/>
        </w:rPr>
        <w:t>ing</w:t>
      </w:r>
      <w:r w:rsidRPr="00BD58E8">
        <w:rPr>
          <w:color w:val="auto"/>
        </w:rPr>
        <w:t xml:space="preserve"> early to prevent quality issues becoming more serious.</w:t>
      </w:r>
    </w:p>
    <w:p w14:paraId="72ECD4A0" w14:textId="77777777" w:rsidR="00AC5703" w:rsidRDefault="00AC5703" w:rsidP="00AC5703">
      <w:pPr>
        <w:ind w:left="308" w:right="162" w:firstLine="0"/>
        <w:rPr>
          <w:color w:val="auto"/>
        </w:rPr>
      </w:pPr>
    </w:p>
    <w:p w14:paraId="02A60526" w14:textId="77777777" w:rsidR="00AC5703" w:rsidRPr="00D701A0" w:rsidRDefault="00AC5703" w:rsidP="00AC5703">
      <w:pPr>
        <w:ind w:left="308" w:right="162" w:firstLine="0"/>
        <w:rPr>
          <w:color w:val="auto"/>
          <w:szCs w:val="21"/>
        </w:rPr>
      </w:pPr>
      <w:r w:rsidRPr="00D701A0">
        <w:rPr>
          <w:rFonts w:eastAsia="Times New Roman" w:cs="Arial"/>
          <w:color w:val="auto"/>
          <w:szCs w:val="21"/>
        </w:rPr>
        <w:t xml:space="preserve">Chapter 14.9 </w:t>
      </w:r>
      <w:r w:rsidRPr="00D701A0">
        <w:rPr>
          <w:color w:val="auto"/>
          <w:szCs w:val="21"/>
        </w:rPr>
        <w:t>CSSG</w:t>
      </w:r>
      <w:r w:rsidRPr="00D701A0">
        <w:rPr>
          <w:rFonts w:eastAsia="Times New Roman" w:cs="Arial"/>
          <w:color w:val="auto"/>
          <w:szCs w:val="21"/>
        </w:rPr>
        <w:t xml:space="preserve"> states that safeguarding is not a substitute for:</w:t>
      </w:r>
    </w:p>
    <w:p w14:paraId="36204292" w14:textId="77777777" w:rsidR="00AC5703" w:rsidRPr="00BD58E8" w:rsidRDefault="00AC5703" w:rsidP="00AC5703">
      <w:pPr>
        <w:pStyle w:val="ListParagraph"/>
        <w:numPr>
          <w:ilvl w:val="0"/>
          <w:numId w:val="12"/>
        </w:numPr>
        <w:shd w:val="clear" w:color="auto" w:fill="FFFFFF"/>
        <w:spacing w:after="75" w:line="240" w:lineRule="auto"/>
        <w:rPr>
          <w:rFonts w:eastAsia="Times New Roman" w:cs="Arial"/>
          <w:color w:val="auto"/>
          <w:szCs w:val="21"/>
        </w:rPr>
      </w:pPr>
      <w:r w:rsidRPr="00BD58E8">
        <w:rPr>
          <w:rFonts w:eastAsia="Times New Roman" w:cs="Arial"/>
          <w:color w:val="auto"/>
          <w:szCs w:val="21"/>
        </w:rPr>
        <w:t>providers’ responsibilities to provide safe and high quality care and support</w:t>
      </w:r>
    </w:p>
    <w:p w14:paraId="0EA6A4A0" w14:textId="77777777" w:rsidR="00AC5703" w:rsidRPr="00BD58E8" w:rsidRDefault="00AC5703" w:rsidP="00AC5703">
      <w:pPr>
        <w:pStyle w:val="ListParagraph"/>
        <w:numPr>
          <w:ilvl w:val="0"/>
          <w:numId w:val="12"/>
        </w:numPr>
        <w:shd w:val="clear" w:color="auto" w:fill="FFFFFF"/>
        <w:spacing w:after="75" w:line="240" w:lineRule="auto"/>
        <w:rPr>
          <w:rFonts w:eastAsia="Times New Roman" w:cs="Arial"/>
          <w:color w:val="auto"/>
          <w:szCs w:val="21"/>
        </w:rPr>
      </w:pPr>
      <w:r w:rsidRPr="00BD58E8">
        <w:rPr>
          <w:rFonts w:eastAsia="Times New Roman" w:cs="Arial"/>
          <w:color w:val="auto"/>
          <w:szCs w:val="21"/>
        </w:rPr>
        <w:t>commissioners regularly assuring themselves of the safety and effectiveness of commissioned services</w:t>
      </w:r>
    </w:p>
    <w:p w14:paraId="2A06407A" w14:textId="77777777" w:rsidR="00AC5703" w:rsidRPr="00BD58E8" w:rsidRDefault="00AC5703" w:rsidP="00AC5703">
      <w:pPr>
        <w:pStyle w:val="ListParagraph"/>
        <w:numPr>
          <w:ilvl w:val="0"/>
          <w:numId w:val="12"/>
        </w:numPr>
        <w:shd w:val="clear" w:color="auto" w:fill="FFFFFF"/>
        <w:spacing w:after="75" w:line="240" w:lineRule="auto"/>
        <w:rPr>
          <w:rFonts w:eastAsia="Times New Roman" w:cs="Arial"/>
          <w:color w:val="auto"/>
          <w:szCs w:val="21"/>
        </w:rPr>
      </w:pPr>
      <w:r w:rsidRPr="00BD58E8">
        <w:rPr>
          <w:rFonts w:eastAsia="Times New Roman" w:cs="Arial"/>
          <w:color w:val="auto"/>
          <w:szCs w:val="21"/>
        </w:rPr>
        <w:t>the Care Quality Commission (CQC) ensuring that regulated providers comply with the fundamental standards of care or by taking enforcement action</w:t>
      </w:r>
    </w:p>
    <w:p w14:paraId="4CE4648E" w14:textId="77777777" w:rsidR="00AC5703" w:rsidRPr="00BD58E8" w:rsidRDefault="00AC5703" w:rsidP="00AC5703">
      <w:pPr>
        <w:pStyle w:val="ListParagraph"/>
        <w:numPr>
          <w:ilvl w:val="0"/>
          <w:numId w:val="12"/>
        </w:numPr>
        <w:shd w:val="clear" w:color="auto" w:fill="FFFFFF"/>
        <w:spacing w:after="75" w:line="240" w:lineRule="auto"/>
        <w:rPr>
          <w:rFonts w:eastAsia="Times New Roman" w:cs="Arial"/>
          <w:color w:val="auto"/>
          <w:szCs w:val="21"/>
        </w:rPr>
      </w:pPr>
      <w:r w:rsidRPr="00BD58E8">
        <w:rPr>
          <w:rFonts w:eastAsia="Times New Roman" w:cs="Arial"/>
          <w:color w:val="auto"/>
          <w:szCs w:val="21"/>
        </w:rPr>
        <w:t>the core duties of the police to prevent and detect crime and protect life and property</w:t>
      </w:r>
    </w:p>
    <w:p w14:paraId="70F28C6D" w14:textId="77777777" w:rsidR="00AC5703" w:rsidRPr="00BD58E8" w:rsidRDefault="00AC5703" w:rsidP="00AC5703">
      <w:pPr>
        <w:ind w:left="308" w:right="162" w:firstLine="0"/>
        <w:rPr>
          <w:color w:val="auto"/>
        </w:rPr>
      </w:pPr>
    </w:p>
    <w:p w14:paraId="24022092" w14:textId="77777777" w:rsidR="00AC5703" w:rsidRPr="00BD58E8" w:rsidRDefault="00AC5703" w:rsidP="00AC5703">
      <w:pPr>
        <w:ind w:right="162"/>
        <w:rPr>
          <w:color w:val="auto"/>
        </w:rPr>
      </w:pPr>
      <w:r w:rsidRPr="00BD58E8">
        <w:rPr>
          <w:color w:val="auto"/>
        </w:rPr>
        <w:t xml:space="preserve">Chapter 14.221 </w:t>
      </w:r>
      <w:r>
        <w:rPr>
          <w:color w:val="auto"/>
        </w:rPr>
        <w:t>CSSG</w:t>
      </w:r>
      <w:r w:rsidRPr="00BD58E8">
        <w:rPr>
          <w:color w:val="auto"/>
        </w:rPr>
        <w:t xml:space="preserve"> states:</w:t>
      </w:r>
    </w:p>
    <w:p w14:paraId="00A834F8" w14:textId="77777777" w:rsidR="00AC5703" w:rsidRPr="008C5A9E" w:rsidRDefault="00AC5703" w:rsidP="00AC5703">
      <w:pPr>
        <w:pStyle w:val="NormalWeb"/>
        <w:shd w:val="clear" w:color="auto" w:fill="FFFFFF"/>
        <w:spacing w:before="75" w:beforeAutospacing="0" w:after="300" w:afterAutospacing="0"/>
        <w:ind w:left="308"/>
        <w:rPr>
          <w:rFonts w:ascii="Verdana" w:hAnsi="Verdana" w:cs="Arial"/>
          <w:color w:val="0B0C0C"/>
          <w:sz w:val="21"/>
          <w:szCs w:val="21"/>
        </w:rPr>
      </w:pPr>
      <w:r>
        <w:rPr>
          <w:rFonts w:ascii="Verdana" w:hAnsi="Verdana" w:cs="Arial"/>
          <w:color w:val="0B0C0C"/>
          <w:sz w:val="21"/>
          <w:szCs w:val="21"/>
        </w:rPr>
        <w:t>“</w:t>
      </w:r>
      <w:r w:rsidRPr="008C5A9E">
        <w:rPr>
          <w:rFonts w:ascii="Verdana" w:hAnsi="Verdana" w:cs="Arial"/>
          <w:color w:val="0B0C0C"/>
          <w:sz w:val="21"/>
          <w:szCs w:val="21"/>
        </w:rPr>
        <w:t>Commissioners from the local authority, NHS and CCGs are all vital to promoting adult safeguarding. Commissioners have a responsibility to assure themselves of the quality and safety of the organisations they place contracts with and ensure that those contracts have explicit clauses that holds the providers to account for preventing and dealing promptly and appropriately with any example of abuse and neglect.</w:t>
      </w:r>
      <w:r>
        <w:rPr>
          <w:rFonts w:ascii="Verdana" w:hAnsi="Verdana" w:cs="Arial"/>
          <w:color w:val="0B0C0C"/>
          <w:sz w:val="21"/>
          <w:szCs w:val="21"/>
        </w:rPr>
        <w:t>”</w:t>
      </w:r>
    </w:p>
    <w:p w14:paraId="5004BCD9" w14:textId="5B44F796" w:rsidR="00AC5703" w:rsidRPr="00D701A0" w:rsidRDefault="00AC5703" w:rsidP="00AC5703">
      <w:pPr>
        <w:shd w:val="clear" w:color="auto" w:fill="FFFFFF"/>
        <w:spacing w:after="75" w:line="240" w:lineRule="auto"/>
        <w:ind w:left="300" w:firstLine="0"/>
        <w:rPr>
          <w:rFonts w:eastAsia="Times New Roman" w:cs="Arial"/>
          <w:color w:val="auto"/>
          <w:szCs w:val="21"/>
        </w:rPr>
      </w:pPr>
      <w:r w:rsidRPr="00D701A0">
        <w:rPr>
          <w:rFonts w:eastAsia="Times New Roman" w:cs="Arial"/>
          <w:color w:val="auto"/>
          <w:szCs w:val="21"/>
        </w:rPr>
        <w:t xml:space="preserve">The Joint Multi-Agency Safeguarding Adults Policy and Procedures state in </w:t>
      </w:r>
      <w:r w:rsidR="00C46611" w:rsidRPr="00D701A0">
        <w:rPr>
          <w:rFonts w:eastAsia="Times New Roman" w:cs="Arial"/>
          <w:color w:val="auto"/>
          <w:szCs w:val="21"/>
        </w:rPr>
        <w:t xml:space="preserve">para </w:t>
      </w:r>
      <w:r w:rsidRPr="00D701A0">
        <w:rPr>
          <w:rFonts w:eastAsia="Times New Roman" w:cs="Arial"/>
          <w:color w:val="auto"/>
          <w:szCs w:val="21"/>
        </w:rPr>
        <w:t>6.5:</w:t>
      </w:r>
    </w:p>
    <w:p w14:paraId="60CDB7DC" w14:textId="77777777" w:rsidR="00AC5703" w:rsidRPr="00BD58E8" w:rsidRDefault="00AC5703" w:rsidP="00AC5703">
      <w:pPr>
        <w:shd w:val="clear" w:color="auto" w:fill="FFFFFF"/>
        <w:spacing w:after="75" w:line="240" w:lineRule="auto"/>
        <w:ind w:left="300" w:firstLine="0"/>
        <w:rPr>
          <w:color w:val="auto"/>
        </w:rPr>
      </w:pPr>
      <w:r w:rsidRPr="00BD58E8">
        <w:rPr>
          <w:rFonts w:ascii="Arial" w:eastAsia="Times New Roman" w:hAnsi="Arial" w:cs="Arial"/>
          <w:color w:val="auto"/>
          <w:sz w:val="22"/>
        </w:rPr>
        <w:t>“</w:t>
      </w:r>
      <w:r w:rsidRPr="00BD58E8">
        <w:rPr>
          <w:color w:val="auto"/>
        </w:rPr>
        <w:t>Where a commissioner or the Care Quality Commission are taking their own action in relation to a concern, the local authority must consider if these actions already form an appropriate and proportionate response to the concerns raised. If the local authority identifies possible abuse, including organisational abuse it will lead on those aspects of the concerns, but performance and quality issues will continue to be addressed by Commissioners and/or the Care Quality Commission.”</w:t>
      </w:r>
    </w:p>
    <w:p w14:paraId="4F134EDC" w14:textId="77777777" w:rsidR="00AC5703" w:rsidRPr="007514BA" w:rsidRDefault="00AC5703" w:rsidP="00AC5703">
      <w:pPr>
        <w:spacing w:after="0" w:line="259" w:lineRule="auto"/>
        <w:ind w:left="0" w:firstLine="0"/>
      </w:pPr>
    </w:p>
    <w:p w14:paraId="32C522E4" w14:textId="77777777" w:rsidR="00AC5703" w:rsidRDefault="00AC5703" w:rsidP="00AC5703">
      <w:pPr>
        <w:pStyle w:val="Heading2"/>
        <w:ind w:left="1028" w:hanging="720"/>
      </w:pPr>
      <w:bookmarkStart w:id="2" w:name="_Toc21836"/>
      <w:r>
        <w:t xml:space="preserve">Relationship with other safeguarding enquiries </w:t>
      </w:r>
      <w:bookmarkEnd w:id="2"/>
    </w:p>
    <w:p w14:paraId="4FD85DEB" w14:textId="77777777" w:rsidR="00AC5703" w:rsidRDefault="00AC5703" w:rsidP="00AC5703">
      <w:pPr>
        <w:spacing w:after="0" w:line="259" w:lineRule="auto"/>
        <w:ind w:left="308" w:firstLine="0"/>
      </w:pPr>
      <w:r>
        <w:rPr>
          <w:rFonts w:ascii="Arial" w:eastAsia="Arial" w:hAnsi="Arial" w:cs="Arial"/>
          <w:sz w:val="23"/>
        </w:rPr>
        <w:t xml:space="preserve"> </w:t>
      </w:r>
    </w:p>
    <w:p w14:paraId="3A97D916" w14:textId="77777777" w:rsidR="00AC5703" w:rsidRDefault="00AC5703" w:rsidP="00AC5703">
      <w:r>
        <w:t>When there is a safeguarding concern about an individual, the focus of a safeguarding enquiry will be on what has happened to that person, their safety and wellbeing, on their desired outcomes and what actions will be needed to support that person to be safe.</w:t>
      </w:r>
    </w:p>
    <w:p w14:paraId="6E6FFD3A" w14:textId="77777777" w:rsidR="00AC5703" w:rsidRDefault="00AC5703" w:rsidP="00AC5703"/>
    <w:p w14:paraId="59528AE9" w14:textId="77777777" w:rsidR="00AC5703" w:rsidRDefault="00AC5703" w:rsidP="00AC5703"/>
    <w:p w14:paraId="4EA7FBC3" w14:textId="77777777" w:rsidR="00AC5703" w:rsidRDefault="00AC5703" w:rsidP="00AC5703">
      <w:pPr>
        <w:ind w:left="0" w:firstLine="0"/>
        <w:sectPr w:rsidR="00AC5703">
          <w:footerReference w:type="even" r:id="rId9"/>
          <w:footerReference w:type="default" r:id="rId10"/>
          <w:footerReference w:type="first" r:id="rId11"/>
          <w:footnotePr>
            <w:numRestart w:val="eachPage"/>
          </w:footnotePr>
          <w:pgSz w:w="11906" w:h="16838"/>
          <w:pgMar w:top="712" w:right="1388" w:bottom="707" w:left="1133" w:header="720" w:footer="720" w:gutter="0"/>
          <w:cols w:space="720"/>
          <w:titlePg/>
        </w:sectPr>
      </w:pPr>
    </w:p>
    <w:p w14:paraId="1D724FFE" w14:textId="77777777" w:rsidR="00AC5703" w:rsidRDefault="00AC5703" w:rsidP="00AC5703">
      <w:pPr>
        <w:ind w:left="-15" w:right="162" w:firstLine="0"/>
      </w:pPr>
      <w:r>
        <w:lastRenderedPageBreak/>
        <w:t xml:space="preserve">If there are concerns that more than one person is experiencing abuse or neglect within the same service or setting, then this process should be followed for each person.  </w:t>
      </w:r>
    </w:p>
    <w:p w14:paraId="4573892E" w14:textId="77777777" w:rsidR="00AC5703" w:rsidRDefault="00AC5703" w:rsidP="00AC5703">
      <w:pPr>
        <w:spacing w:after="0" w:line="259" w:lineRule="auto"/>
        <w:ind w:left="0" w:firstLine="0"/>
      </w:pPr>
      <w:r>
        <w:t xml:space="preserve"> </w:t>
      </w:r>
    </w:p>
    <w:p w14:paraId="7C62959B" w14:textId="6EC58E1E" w:rsidR="00AC5703" w:rsidRDefault="00AC5703" w:rsidP="00AC5703">
      <w:pPr>
        <w:ind w:left="-5" w:right="162"/>
      </w:pPr>
      <w:r>
        <w:t xml:space="preserve">As such each individual safeguarding enquiry will </w:t>
      </w:r>
      <w:r w:rsidR="00D701A0">
        <w:t>require</w:t>
      </w:r>
      <w:r>
        <w:t xml:space="preserve"> its own safeguarding </w:t>
      </w:r>
      <w:r w:rsidR="00D701A0">
        <w:t>planning</w:t>
      </w:r>
      <w:r>
        <w:t xml:space="preserve"> and outcome discussion / meeting. This is important to ensure that each individual person’s needs, desired outcomes, </w:t>
      </w:r>
      <w:r w:rsidR="00280316">
        <w:t>circumstances,</w:t>
      </w:r>
      <w:r>
        <w:t xml:space="preserve"> and personal safety are </w:t>
      </w:r>
      <w:r w:rsidR="00D701A0">
        <w:t>considered</w:t>
      </w:r>
      <w:r>
        <w:t xml:space="preserve">. </w:t>
      </w:r>
    </w:p>
    <w:p w14:paraId="6D124AB9" w14:textId="77777777" w:rsidR="00AC5703" w:rsidRDefault="00AC5703" w:rsidP="00AC5703">
      <w:pPr>
        <w:spacing w:after="0" w:line="259" w:lineRule="auto"/>
        <w:ind w:left="0" w:firstLine="0"/>
      </w:pPr>
      <w:r>
        <w:t xml:space="preserve"> </w:t>
      </w:r>
    </w:p>
    <w:p w14:paraId="71C99F4E" w14:textId="5E5B95FF" w:rsidR="00AC5703" w:rsidRPr="000D5AED" w:rsidRDefault="00AC5703" w:rsidP="00AC5703">
      <w:pPr>
        <w:ind w:left="-5" w:right="162"/>
        <w:rPr>
          <w:color w:val="000000" w:themeColor="text1"/>
        </w:rPr>
      </w:pPr>
      <w:r w:rsidRPr="000D5AED">
        <w:rPr>
          <w:color w:val="000000" w:themeColor="text1"/>
        </w:rPr>
        <w:t xml:space="preserve">Where there are safeguarding concerns for more than one person within the same service or setting, then an </w:t>
      </w:r>
      <w:r w:rsidRPr="00BD58E8">
        <w:rPr>
          <w:color w:val="auto"/>
        </w:rPr>
        <w:t xml:space="preserve">Organisational Safeguarding Enquiry </w:t>
      </w:r>
      <w:r w:rsidRPr="000D5AED">
        <w:rPr>
          <w:color w:val="000000" w:themeColor="text1"/>
        </w:rPr>
        <w:t xml:space="preserve">may </w:t>
      </w:r>
      <w:r w:rsidR="006F2396">
        <w:rPr>
          <w:color w:val="000000" w:themeColor="text1"/>
        </w:rPr>
        <w:t xml:space="preserve">also </w:t>
      </w:r>
      <w:r w:rsidRPr="000D5AED">
        <w:rPr>
          <w:color w:val="000000" w:themeColor="text1"/>
        </w:rPr>
        <w:t xml:space="preserve">be required.  However, this will only be appropriate where the nature of the various individual enquiries, when considered together, potentially indicate organisational abuse. </w:t>
      </w:r>
    </w:p>
    <w:p w14:paraId="5EF1562A" w14:textId="77777777" w:rsidR="00AC5703" w:rsidRDefault="00AC5703" w:rsidP="00AC5703">
      <w:pPr>
        <w:spacing w:after="0" w:line="259" w:lineRule="auto"/>
        <w:ind w:left="0" w:firstLine="0"/>
      </w:pPr>
      <w:r>
        <w:t xml:space="preserve"> </w:t>
      </w:r>
    </w:p>
    <w:p w14:paraId="6B837993" w14:textId="77777777" w:rsidR="00AC5703" w:rsidRDefault="00AC5703" w:rsidP="00AC5703">
      <w:pPr>
        <w:ind w:left="-5" w:right="162"/>
      </w:pPr>
      <w:r>
        <w:t xml:space="preserve">As an Organisational Safeguarding Enquiry is an additional enquiry, it should only be followed where there is a potential benefit to safeguarding people within that service or setting. </w:t>
      </w:r>
      <w:r w:rsidRPr="00BD58E8">
        <w:rPr>
          <w:color w:val="auto"/>
        </w:rPr>
        <w:t xml:space="preserve">The setting must be one which provides healthcare and/or social care services. </w:t>
      </w:r>
      <w:r>
        <w:t xml:space="preserve">The need for an Organisational Safeguarding Enquiry may be identified at any time, for example, whilst other enquiries are being undertaken or at their conclusion. </w:t>
      </w:r>
    </w:p>
    <w:p w14:paraId="2DDBE0F5" w14:textId="77777777" w:rsidR="00AC5703" w:rsidRDefault="00AC5703" w:rsidP="00AC5703">
      <w:pPr>
        <w:spacing w:after="0" w:line="259" w:lineRule="auto"/>
        <w:ind w:left="0" w:firstLine="0"/>
      </w:pPr>
      <w:r>
        <w:t xml:space="preserve"> </w:t>
      </w:r>
    </w:p>
    <w:p w14:paraId="6751E7D9" w14:textId="77777777" w:rsidR="00AC5703" w:rsidRDefault="00AC5703" w:rsidP="00AC5703">
      <w:pPr>
        <w:ind w:left="-5" w:right="162"/>
      </w:pPr>
      <w:r>
        <w:t xml:space="preserve">The Organisational Safeguarding Enquiry will need to draw upon the findings of each individual safeguarding enquiry undertaken, and undertake additional enquiries and actions as required to respond to the concerns of organisational abuse. </w:t>
      </w:r>
    </w:p>
    <w:p w14:paraId="4C386FA9" w14:textId="77777777" w:rsidR="00AC5703" w:rsidRDefault="00AC5703" w:rsidP="00AC5703">
      <w:pPr>
        <w:ind w:left="-5" w:right="162"/>
      </w:pPr>
    </w:p>
    <w:p w14:paraId="2C207B97" w14:textId="77777777" w:rsidR="00AC5703" w:rsidRDefault="00AC5703" w:rsidP="00AC5703">
      <w:pPr>
        <w:spacing w:after="0" w:line="259" w:lineRule="auto"/>
        <w:ind w:left="0" w:firstLine="0"/>
      </w:pPr>
      <w:r>
        <w:t xml:space="preserve"> </w:t>
      </w:r>
    </w:p>
    <w:p w14:paraId="7532177C" w14:textId="77777777" w:rsidR="00AC5703" w:rsidRDefault="00AC5703" w:rsidP="00AC5703">
      <w:pPr>
        <w:pStyle w:val="Heading1"/>
        <w:ind w:left="345" w:hanging="360"/>
      </w:pPr>
      <w:bookmarkStart w:id="3" w:name="_Toc21837"/>
      <w:r>
        <w:t xml:space="preserve">Practice considerations </w:t>
      </w:r>
      <w:bookmarkEnd w:id="3"/>
    </w:p>
    <w:p w14:paraId="1DBBE2C4" w14:textId="77777777" w:rsidR="00AC5703" w:rsidRDefault="00AC5703" w:rsidP="00AC5703">
      <w:pPr>
        <w:spacing w:after="0" w:line="259" w:lineRule="auto"/>
        <w:ind w:left="0" w:firstLine="0"/>
      </w:pPr>
      <w:r>
        <w:t xml:space="preserve"> </w:t>
      </w:r>
    </w:p>
    <w:p w14:paraId="4BF73046" w14:textId="6570EA69" w:rsidR="00AC5703" w:rsidRDefault="00AC5703" w:rsidP="00AC5703">
      <w:pPr>
        <w:ind w:left="-5" w:right="162"/>
      </w:pPr>
      <w:r>
        <w:t xml:space="preserve">The Organisational Safeguarding Enquiry will require its own Formal Report and Outcome Meeting to </w:t>
      </w:r>
      <w:r w:rsidR="00C46611">
        <w:t>evaluate</w:t>
      </w:r>
      <w:r>
        <w:t xml:space="preserve"> the findings and </w:t>
      </w:r>
      <w:r w:rsidR="00C46611">
        <w:t xml:space="preserve">understand any </w:t>
      </w:r>
      <w:r>
        <w:t xml:space="preserve">safeguarding arrangements required. </w:t>
      </w:r>
    </w:p>
    <w:p w14:paraId="6503DAAC" w14:textId="77777777" w:rsidR="00AC5703" w:rsidRDefault="00AC5703" w:rsidP="00AC5703">
      <w:pPr>
        <w:spacing w:after="0" w:line="259" w:lineRule="auto"/>
        <w:ind w:left="0" w:firstLine="0"/>
      </w:pPr>
      <w:r>
        <w:t xml:space="preserve"> </w:t>
      </w:r>
    </w:p>
    <w:p w14:paraId="5FE8F23E" w14:textId="77777777" w:rsidR="00AC5703" w:rsidRDefault="00AC5703" w:rsidP="00AC5703">
      <w:pPr>
        <w:ind w:left="-5" w:right="162"/>
      </w:pPr>
      <w:r>
        <w:t xml:space="preserve">Organisational Safeguarding Enquiries will often be complex. This section sets out additional practice considerations that are particularly relevant when an Organisational Safeguarding Enquiry is being planned and undertaken. </w:t>
      </w:r>
    </w:p>
    <w:p w14:paraId="06A214BC" w14:textId="77777777" w:rsidR="00AC5703" w:rsidRDefault="00AC5703" w:rsidP="00AC5703">
      <w:pPr>
        <w:spacing w:after="0" w:line="259" w:lineRule="auto"/>
        <w:ind w:left="0" w:firstLine="0"/>
      </w:pPr>
      <w:r>
        <w:rPr>
          <w:b/>
          <w:sz w:val="22"/>
        </w:rPr>
        <w:t xml:space="preserve"> </w:t>
      </w:r>
    </w:p>
    <w:p w14:paraId="13022C78" w14:textId="77777777" w:rsidR="00AC5703" w:rsidRDefault="00AC5703" w:rsidP="00AC5703">
      <w:pPr>
        <w:pStyle w:val="Heading2"/>
        <w:ind w:left="705" w:hanging="720"/>
      </w:pPr>
      <w:bookmarkStart w:id="4" w:name="_Toc21838"/>
      <w:r>
        <w:t xml:space="preserve">Who to involve within Organisational Safeguarding Enquiries </w:t>
      </w:r>
      <w:bookmarkEnd w:id="4"/>
    </w:p>
    <w:p w14:paraId="5570A599" w14:textId="77777777" w:rsidR="00AC5703" w:rsidRDefault="00AC5703" w:rsidP="00AC5703">
      <w:pPr>
        <w:spacing w:after="0" w:line="259" w:lineRule="auto"/>
        <w:ind w:left="0" w:firstLine="0"/>
      </w:pPr>
      <w:r>
        <w:rPr>
          <w:rFonts w:ascii="Arial" w:eastAsia="Arial" w:hAnsi="Arial" w:cs="Arial"/>
          <w:sz w:val="23"/>
        </w:rPr>
        <w:t xml:space="preserve"> </w:t>
      </w:r>
    </w:p>
    <w:p w14:paraId="5D8DCCA6" w14:textId="7E30ED72" w:rsidR="00AC5703" w:rsidRDefault="00AC5703" w:rsidP="00AC5703">
      <w:pPr>
        <w:ind w:left="-5" w:right="162"/>
      </w:pPr>
      <w:r>
        <w:t xml:space="preserve">Involvement at the Planning Meeting/Outcome Meeting should be limited to those </w:t>
      </w:r>
      <w:r w:rsidR="00C46611">
        <w:t xml:space="preserve">stakeholders </w:t>
      </w:r>
      <w:r>
        <w:t>who need to</w:t>
      </w:r>
      <w:r w:rsidR="00C46611">
        <w:t xml:space="preserve"> be involved</w:t>
      </w:r>
      <w:r>
        <w:t xml:space="preserve"> and can contribute to the decision-making process. This may include an appropriate representative of any organisation that has a specific role in: </w:t>
      </w:r>
    </w:p>
    <w:p w14:paraId="23F0F5FE" w14:textId="77777777" w:rsidR="00AC5703" w:rsidRDefault="00AC5703" w:rsidP="00AC5703">
      <w:pPr>
        <w:spacing w:after="6" w:line="259" w:lineRule="auto"/>
        <w:ind w:left="0" w:firstLine="0"/>
      </w:pPr>
      <w:r>
        <w:t xml:space="preserve"> </w:t>
      </w:r>
    </w:p>
    <w:p w14:paraId="6E19C426" w14:textId="77777777" w:rsidR="00AC5703" w:rsidRDefault="00AC5703" w:rsidP="00AC5703">
      <w:pPr>
        <w:numPr>
          <w:ilvl w:val="0"/>
          <w:numId w:val="1"/>
        </w:numPr>
        <w:spacing w:after="30"/>
        <w:ind w:right="162" w:hanging="360"/>
      </w:pPr>
      <w:r>
        <w:t xml:space="preserve">undertaking enquiries in relation to abuse or neglect </w:t>
      </w:r>
    </w:p>
    <w:p w14:paraId="6D86CC74" w14:textId="77777777" w:rsidR="00AC5703" w:rsidRDefault="00AC5703" w:rsidP="00AC5703">
      <w:pPr>
        <w:numPr>
          <w:ilvl w:val="0"/>
          <w:numId w:val="1"/>
        </w:numPr>
        <w:spacing w:after="33"/>
        <w:ind w:right="162" w:hanging="360"/>
      </w:pPr>
      <w:r>
        <w:t xml:space="preserve">assessing the risk </w:t>
      </w:r>
    </w:p>
    <w:p w14:paraId="675E78A5" w14:textId="77777777" w:rsidR="00AC5703" w:rsidRDefault="00AC5703" w:rsidP="00AC5703">
      <w:pPr>
        <w:numPr>
          <w:ilvl w:val="0"/>
          <w:numId w:val="1"/>
        </w:numPr>
        <w:spacing w:after="31"/>
        <w:ind w:right="162" w:hanging="360"/>
      </w:pPr>
      <w:r>
        <w:t xml:space="preserve">developing or carrying out the safeguarding plan </w:t>
      </w:r>
    </w:p>
    <w:p w14:paraId="2E47518C" w14:textId="77777777" w:rsidR="00AC5703" w:rsidRDefault="00AC5703" w:rsidP="00AC5703">
      <w:pPr>
        <w:numPr>
          <w:ilvl w:val="0"/>
          <w:numId w:val="1"/>
        </w:numPr>
        <w:spacing w:after="31"/>
        <w:ind w:right="162" w:hanging="360"/>
      </w:pPr>
      <w:r>
        <w:t xml:space="preserve">undertaking related enquiries e.g. criminal, regulatory </w:t>
      </w:r>
    </w:p>
    <w:p w14:paraId="01102827" w14:textId="77777777" w:rsidR="00AC5703" w:rsidRDefault="00AC5703" w:rsidP="00AC5703">
      <w:pPr>
        <w:numPr>
          <w:ilvl w:val="0"/>
          <w:numId w:val="1"/>
        </w:numPr>
        <w:spacing w:after="26"/>
        <w:ind w:right="162" w:hanging="360"/>
      </w:pPr>
      <w:r>
        <w:t xml:space="preserve">taking other actions in relation to the organisation alleged to have caused harm </w:t>
      </w:r>
    </w:p>
    <w:p w14:paraId="63E10DCC" w14:textId="77777777" w:rsidR="00AC5703" w:rsidRDefault="00AC5703" w:rsidP="00AC5703">
      <w:pPr>
        <w:spacing w:after="0" w:line="259" w:lineRule="auto"/>
        <w:ind w:left="0" w:firstLine="0"/>
      </w:pPr>
    </w:p>
    <w:p w14:paraId="4BDB3CB4" w14:textId="26BE4E26" w:rsidR="00AC5703" w:rsidRPr="00716CC9" w:rsidRDefault="00AC5703" w:rsidP="00AC5703">
      <w:pPr>
        <w:ind w:left="-5" w:right="162"/>
        <w:rPr>
          <w:color w:val="000000" w:themeColor="text1"/>
        </w:rPr>
      </w:pPr>
      <w:r w:rsidRPr="00716CC9">
        <w:rPr>
          <w:color w:val="000000" w:themeColor="text1"/>
        </w:rPr>
        <w:lastRenderedPageBreak/>
        <w:t>In all cases where the Organisational Safeguarding Enquiry</w:t>
      </w:r>
      <w:r>
        <w:rPr>
          <w:color w:val="000000" w:themeColor="text1"/>
        </w:rPr>
        <w:t xml:space="preserve"> being considered involves</w:t>
      </w:r>
      <w:r w:rsidRPr="00716CC9">
        <w:rPr>
          <w:color w:val="000000" w:themeColor="text1"/>
        </w:rPr>
        <w:t xml:space="preserve"> a regulated service provider, the following must be informed and invited to Planning Meetings and Outcome Meetings (and be offered copies of minutes irrespective of attendance): </w:t>
      </w:r>
    </w:p>
    <w:p w14:paraId="34B4926B" w14:textId="77777777" w:rsidR="00AC5703" w:rsidRPr="00716CC9" w:rsidRDefault="00AC5703" w:rsidP="00AC5703">
      <w:pPr>
        <w:spacing w:after="0" w:line="259" w:lineRule="auto"/>
        <w:ind w:left="720" w:firstLine="0"/>
        <w:rPr>
          <w:color w:val="auto"/>
        </w:rPr>
      </w:pPr>
      <w:r w:rsidRPr="00716CC9">
        <w:rPr>
          <w:color w:val="auto"/>
        </w:rPr>
        <w:t xml:space="preserve"> </w:t>
      </w:r>
    </w:p>
    <w:p w14:paraId="0E61E239" w14:textId="77777777" w:rsidR="00AC5703" w:rsidRPr="00716CC9" w:rsidRDefault="00AC5703" w:rsidP="00AC5703">
      <w:pPr>
        <w:numPr>
          <w:ilvl w:val="0"/>
          <w:numId w:val="1"/>
        </w:numPr>
        <w:spacing w:after="31"/>
        <w:ind w:right="162" w:hanging="360"/>
        <w:rPr>
          <w:color w:val="auto"/>
        </w:rPr>
      </w:pPr>
      <w:r w:rsidRPr="00716CC9">
        <w:rPr>
          <w:color w:val="auto"/>
        </w:rPr>
        <w:t xml:space="preserve">Care Quality Commission </w:t>
      </w:r>
    </w:p>
    <w:p w14:paraId="5C3065E5" w14:textId="77777777" w:rsidR="00AC5703" w:rsidRPr="00716CC9" w:rsidRDefault="00AC5703" w:rsidP="00AC5703">
      <w:pPr>
        <w:numPr>
          <w:ilvl w:val="0"/>
          <w:numId w:val="1"/>
        </w:numPr>
        <w:ind w:right="162" w:hanging="360"/>
        <w:rPr>
          <w:color w:val="auto"/>
        </w:rPr>
      </w:pPr>
      <w:r w:rsidRPr="00716CC9">
        <w:rPr>
          <w:color w:val="auto"/>
        </w:rPr>
        <w:t xml:space="preserve">Contracting/Commissioning </w:t>
      </w:r>
      <w:r>
        <w:rPr>
          <w:color w:val="auto"/>
        </w:rPr>
        <w:t>organisations</w:t>
      </w:r>
      <w:r w:rsidRPr="00716CC9">
        <w:rPr>
          <w:color w:val="auto"/>
        </w:rPr>
        <w:t xml:space="preserve"> </w:t>
      </w:r>
    </w:p>
    <w:p w14:paraId="47C1DD14" w14:textId="77777777" w:rsidR="00AC5703" w:rsidRPr="00716CC9" w:rsidRDefault="00AC5703" w:rsidP="00AC5703">
      <w:pPr>
        <w:spacing w:after="99" w:line="259" w:lineRule="auto"/>
        <w:ind w:left="0" w:firstLine="0"/>
        <w:rPr>
          <w:color w:val="auto"/>
        </w:rPr>
      </w:pPr>
      <w:r w:rsidRPr="00716CC9">
        <w:rPr>
          <w:color w:val="auto"/>
          <w:sz w:val="12"/>
        </w:rPr>
        <w:t xml:space="preserve"> </w:t>
      </w:r>
    </w:p>
    <w:p w14:paraId="734B2EC4" w14:textId="3D77678A" w:rsidR="00AC5703" w:rsidRDefault="00AC5703" w:rsidP="00AC5703">
      <w:pPr>
        <w:ind w:left="-5" w:right="162"/>
        <w:rPr>
          <w:color w:val="auto"/>
        </w:rPr>
      </w:pPr>
      <w:r w:rsidRPr="00716CC9">
        <w:rPr>
          <w:color w:val="auto"/>
        </w:rPr>
        <w:t xml:space="preserve">Where an Organisational Safeguarding Enquiry is undertaken in relation to an NHS Trust, the Trust should ensure its Chief Executive Officer and the </w:t>
      </w:r>
      <w:r>
        <w:rPr>
          <w:color w:val="auto"/>
        </w:rPr>
        <w:t xml:space="preserve">Integrated Care Board </w:t>
      </w:r>
      <w:r w:rsidRPr="00716CC9">
        <w:rPr>
          <w:color w:val="auto"/>
        </w:rPr>
        <w:t xml:space="preserve">Executive </w:t>
      </w:r>
      <w:r>
        <w:rPr>
          <w:color w:val="auto"/>
        </w:rPr>
        <w:t>Lead</w:t>
      </w:r>
      <w:r w:rsidRPr="00716CC9">
        <w:rPr>
          <w:color w:val="auto"/>
        </w:rPr>
        <w:t xml:space="preserve"> for Safeguarding within the </w:t>
      </w:r>
      <w:r w:rsidRPr="00BD58E8">
        <w:rPr>
          <w:color w:val="auto"/>
        </w:rPr>
        <w:t>Bradford District and Craven Health and Care Partnership</w:t>
      </w:r>
      <w:r w:rsidRPr="00716CC9">
        <w:rPr>
          <w:color w:val="2F5496" w:themeColor="accent1" w:themeShade="BF"/>
        </w:rPr>
        <w:t xml:space="preserve"> </w:t>
      </w:r>
      <w:r w:rsidRPr="00716CC9">
        <w:rPr>
          <w:color w:val="auto"/>
        </w:rPr>
        <w:t xml:space="preserve">are notified and involved/kept informed as requested. Similarly, where </w:t>
      </w:r>
      <w:r w:rsidR="00280316">
        <w:rPr>
          <w:color w:val="auto"/>
        </w:rPr>
        <w:t xml:space="preserve">the </w:t>
      </w:r>
      <w:r w:rsidRPr="00716CC9">
        <w:rPr>
          <w:color w:val="auto"/>
        </w:rPr>
        <w:t xml:space="preserve">Organisational Safeguarding Enquiry involves a </w:t>
      </w:r>
      <w:r w:rsidR="00280316">
        <w:rPr>
          <w:color w:val="auto"/>
        </w:rPr>
        <w:t>Bradford Council</w:t>
      </w:r>
      <w:r w:rsidRPr="00716CC9">
        <w:rPr>
          <w:color w:val="auto"/>
        </w:rPr>
        <w:t xml:space="preserve"> ‘in-house</w:t>
      </w:r>
      <w:r w:rsidR="00280316">
        <w:rPr>
          <w:color w:val="auto"/>
        </w:rPr>
        <w:t>’</w:t>
      </w:r>
      <w:r w:rsidRPr="00716CC9">
        <w:rPr>
          <w:color w:val="auto"/>
        </w:rPr>
        <w:t xml:space="preserve"> service, the Director of Adult Social Care must be notified, and involved/kept informed as requested.  </w:t>
      </w:r>
    </w:p>
    <w:p w14:paraId="264E01A0" w14:textId="77777777" w:rsidR="00AC5703" w:rsidRDefault="00AC5703" w:rsidP="00AC5703">
      <w:pPr>
        <w:ind w:left="-5" w:right="162"/>
        <w:rPr>
          <w:color w:val="auto"/>
        </w:rPr>
      </w:pPr>
    </w:p>
    <w:p w14:paraId="19A12AAC" w14:textId="1E91F659" w:rsidR="00AC5703" w:rsidRPr="00716CC9" w:rsidRDefault="00AC5703" w:rsidP="00AC5703">
      <w:pPr>
        <w:ind w:left="-5" w:right="162"/>
        <w:rPr>
          <w:color w:val="auto"/>
        </w:rPr>
      </w:pPr>
      <w:r>
        <w:rPr>
          <w:color w:val="auto"/>
        </w:rPr>
        <w:t xml:space="preserve">There will be occasions where invitations to attend </w:t>
      </w:r>
      <w:r w:rsidR="00280316">
        <w:rPr>
          <w:color w:val="auto"/>
        </w:rPr>
        <w:t xml:space="preserve">meetings </w:t>
      </w:r>
      <w:r>
        <w:rPr>
          <w:color w:val="auto"/>
        </w:rPr>
        <w:t xml:space="preserve">are extended to </w:t>
      </w:r>
      <w:r w:rsidR="00280316">
        <w:rPr>
          <w:color w:val="auto"/>
        </w:rPr>
        <w:t>l</w:t>
      </w:r>
      <w:r>
        <w:rPr>
          <w:color w:val="auto"/>
        </w:rPr>
        <w:t xml:space="preserve">ocal </w:t>
      </w:r>
      <w:r w:rsidR="00280316">
        <w:rPr>
          <w:color w:val="auto"/>
        </w:rPr>
        <w:t>a</w:t>
      </w:r>
      <w:r>
        <w:rPr>
          <w:color w:val="auto"/>
        </w:rPr>
        <w:t xml:space="preserve">uthority or NHS operational teams. The need for this will be decided </w:t>
      </w:r>
      <w:r w:rsidR="00280316">
        <w:rPr>
          <w:color w:val="auto"/>
        </w:rPr>
        <w:t xml:space="preserve">upon </w:t>
      </w:r>
      <w:r>
        <w:rPr>
          <w:color w:val="auto"/>
        </w:rPr>
        <w:t>by the Chair</w:t>
      </w:r>
      <w:r w:rsidR="00D701A0">
        <w:rPr>
          <w:color w:val="auto"/>
        </w:rPr>
        <w:t xml:space="preserve"> of the Organisational Safeguarding Enquiry</w:t>
      </w:r>
      <w:r>
        <w:rPr>
          <w:color w:val="auto"/>
        </w:rPr>
        <w:t xml:space="preserve">. </w:t>
      </w:r>
    </w:p>
    <w:p w14:paraId="56EED044" w14:textId="77777777" w:rsidR="00AC5703" w:rsidRDefault="00AC5703" w:rsidP="00AC5703">
      <w:pPr>
        <w:spacing w:after="0" w:line="259" w:lineRule="auto"/>
        <w:ind w:left="720" w:firstLine="0"/>
      </w:pPr>
      <w:r>
        <w:rPr>
          <w:rFonts w:ascii="Arial" w:eastAsia="Arial" w:hAnsi="Arial" w:cs="Arial"/>
          <w:b/>
          <w:color w:val="C00000"/>
          <w:sz w:val="23"/>
        </w:rPr>
        <w:t xml:space="preserve"> </w:t>
      </w:r>
    </w:p>
    <w:p w14:paraId="22B89AFE" w14:textId="77777777" w:rsidR="00AC5703" w:rsidRDefault="00AC5703" w:rsidP="00AC5703">
      <w:pPr>
        <w:pStyle w:val="Heading3"/>
        <w:numPr>
          <w:ilvl w:val="0"/>
          <w:numId w:val="0"/>
        </w:numPr>
      </w:pPr>
      <w:bookmarkStart w:id="5" w:name="_Toc21839"/>
      <w:r>
        <w:t xml:space="preserve">3.2     Involvement of adults at risk and their representatives  </w:t>
      </w:r>
      <w:bookmarkEnd w:id="5"/>
    </w:p>
    <w:p w14:paraId="1F1ED765" w14:textId="77777777" w:rsidR="00AC5703" w:rsidRDefault="00AC5703" w:rsidP="00AC5703">
      <w:pPr>
        <w:spacing w:after="0" w:line="259" w:lineRule="auto"/>
        <w:ind w:left="0" w:firstLine="0"/>
      </w:pPr>
      <w:r>
        <w:rPr>
          <w:rFonts w:ascii="Arial" w:eastAsia="Arial" w:hAnsi="Arial" w:cs="Arial"/>
          <w:sz w:val="23"/>
        </w:rPr>
        <w:t xml:space="preserve"> </w:t>
      </w:r>
    </w:p>
    <w:p w14:paraId="7D39FE5A" w14:textId="0046AC4A" w:rsidR="00AC5703" w:rsidRDefault="00AC5703" w:rsidP="00AC5703">
      <w:pPr>
        <w:ind w:left="-5" w:right="162"/>
      </w:pPr>
      <w:r>
        <w:t xml:space="preserve">The Adult at Risk, and their representatives as appropriate, should be fully involved within individual safeguarding enquiries relating to them as </w:t>
      </w:r>
      <w:r w:rsidR="00280316">
        <w:t xml:space="preserve">is </w:t>
      </w:r>
      <w:r>
        <w:t xml:space="preserve">set out in the Joint Multi-Agency Safeguarding Adults Policy and Procedures. </w:t>
      </w:r>
    </w:p>
    <w:p w14:paraId="34DFB988" w14:textId="77777777" w:rsidR="00AC5703" w:rsidRDefault="00AC5703" w:rsidP="00AC5703">
      <w:pPr>
        <w:spacing w:after="0" w:line="259" w:lineRule="auto"/>
        <w:ind w:left="0" w:firstLine="0"/>
      </w:pPr>
      <w:r>
        <w:t xml:space="preserve"> </w:t>
      </w:r>
    </w:p>
    <w:p w14:paraId="05DD738C" w14:textId="3A7BEDEB" w:rsidR="00AC5703" w:rsidRDefault="00AC5703" w:rsidP="00AC5703">
      <w:pPr>
        <w:ind w:left="-5" w:right="162"/>
      </w:pPr>
      <w:r>
        <w:t xml:space="preserve">The focus of the Organisational Safeguarding Enquiry will be on the collective issues and themes from </w:t>
      </w:r>
      <w:r w:rsidR="00280316">
        <w:t>several</w:t>
      </w:r>
      <w:r>
        <w:t xml:space="preserve"> individual enquiries. For reasons of privacy and confidentiality, or the need to plan an enquiry, it will not usually be appropriate for </w:t>
      </w:r>
      <w:r w:rsidR="00280316">
        <w:t>any adults</w:t>
      </w:r>
      <w:r>
        <w:t xml:space="preserve"> at risk or their relatives to attend an Organisational Safeguarding Enquiry</w:t>
      </w:r>
      <w:r w:rsidR="00D701A0">
        <w:t xml:space="preserve"> Planning</w:t>
      </w:r>
      <w:r>
        <w:t xml:space="preserve"> Meeting/Outcome Meeting.  </w:t>
      </w:r>
    </w:p>
    <w:p w14:paraId="1BA66CDF" w14:textId="77777777" w:rsidR="00AC5703" w:rsidRDefault="00AC5703" w:rsidP="00AC5703">
      <w:pPr>
        <w:spacing w:after="0" w:line="259" w:lineRule="auto"/>
        <w:ind w:left="0" w:firstLine="0"/>
      </w:pPr>
      <w:r>
        <w:t xml:space="preserve"> </w:t>
      </w:r>
    </w:p>
    <w:p w14:paraId="5AAB6487" w14:textId="1C0EDF0E" w:rsidR="00AC5703" w:rsidRDefault="00AC5703" w:rsidP="00AC5703">
      <w:pPr>
        <w:ind w:left="-5" w:right="162"/>
      </w:pPr>
      <w:r>
        <w:t>The Organisational Safeguarding Enquiry should</w:t>
      </w:r>
      <w:r w:rsidR="00D701A0">
        <w:t>, however,</w:t>
      </w:r>
      <w:r>
        <w:t xml:space="preserve"> be informed by the views of those at risk and their representatives. As such the </w:t>
      </w:r>
      <w:r w:rsidR="00074965" w:rsidRPr="00431AE7">
        <w:t>OSE</w:t>
      </w:r>
      <w:r w:rsidRPr="00431AE7">
        <w:t xml:space="preserve"> Coordinator</w:t>
      </w:r>
      <w:r>
        <w:t xml:space="preserve"> will need to consider how the views of the adult at risk and their representatives can be most appropriately included. These will often have already been raised within individual enquiries and some</w:t>
      </w:r>
      <w:r w:rsidR="00280316">
        <w:t xml:space="preserve"> adults</w:t>
      </w:r>
      <w:r>
        <w:t xml:space="preserve"> may wish to offer further views in relation to the Organisational Safeguarding Enquiry being undertaken.  </w:t>
      </w:r>
    </w:p>
    <w:p w14:paraId="7C3C6DC0" w14:textId="77777777" w:rsidR="00AC5703" w:rsidRDefault="00AC5703" w:rsidP="00AC5703">
      <w:pPr>
        <w:spacing w:after="0" w:line="259" w:lineRule="auto"/>
        <w:ind w:left="0" w:firstLine="0"/>
      </w:pPr>
    </w:p>
    <w:p w14:paraId="354B4F5E" w14:textId="77777777" w:rsidR="00AC5703" w:rsidRDefault="00AC5703" w:rsidP="00AC5703">
      <w:pPr>
        <w:pStyle w:val="Heading2"/>
        <w:numPr>
          <w:ilvl w:val="1"/>
          <w:numId w:val="15"/>
        </w:numPr>
      </w:pPr>
      <w:bookmarkStart w:id="6" w:name="_Toc21840"/>
      <w:r>
        <w:t xml:space="preserve">Involvement of the service provider </w:t>
      </w:r>
      <w:bookmarkEnd w:id="6"/>
    </w:p>
    <w:p w14:paraId="2530A34A" w14:textId="77777777" w:rsidR="00AC5703" w:rsidRDefault="00AC5703" w:rsidP="00AC5703">
      <w:pPr>
        <w:spacing w:after="0" w:line="259" w:lineRule="auto"/>
        <w:ind w:left="0" w:firstLine="0"/>
      </w:pPr>
      <w:r>
        <w:rPr>
          <w:rFonts w:ascii="Arial" w:eastAsia="Arial" w:hAnsi="Arial" w:cs="Arial"/>
          <w:sz w:val="23"/>
        </w:rPr>
        <w:t xml:space="preserve"> </w:t>
      </w:r>
    </w:p>
    <w:p w14:paraId="55F51510" w14:textId="77777777" w:rsidR="00AC5703" w:rsidRDefault="00AC5703" w:rsidP="00AC5703">
      <w:pPr>
        <w:ind w:left="-5" w:right="162"/>
      </w:pPr>
      <w:r>
        <w:t xml:space="preserve">It is important that the service provider is involved as fully as possible in safeguarding concerns involving their service. Non-attendance is likely to be treated as a breach of the contracting terms and addressed jointly with the Contract and Quality Team. </w:t>
      </w:r>
    </w:p>
    <w:p w14:paraId="3635F615" w14:textId="77777777" w:rsidR="00AC5703" w:rsidRDefault="00AC5703" w:rsidP="00AC5703">
      <w:pPr>
        <w:spacing w:after="0" w:line="259" w:lineRule="auto"/>
        <w:ind w:left="0" w:firstLine="0"/>
      </w:pPr>
      <w:r>
        <w:t xml:space="preserve"> </w:t>
      </w:r>
    </w:p>
    <w:p w14:paraId="4F2E535A" w14:textId="01BDCA07" w:rsidR="00AC5703" w:rsidRDefault="00AC5703" w:rsidP="00AC5703">
      <w:pPr>
        <w:ind w:left="-5" w:right="162"/>
      </w:pPr>
      <w:r>
        <w:t xml:space="preserve">Depending on the size of the organisation and the nature of the concerns, </w:t>
      </w:r>
      <w:r w:rsidR="00280316">
        <w:t xml:space="preserve">or </w:t>
      </w:r>
      <w:r>
        <w:t xml:space="preserve">the individuals implicated, the </w:t>
      </w:r>
      <w:r w:rsidR="00280316">
        <w:t xml:space="preserve">people </w:t>
      </w:r>
      <w:r>
        <w:t xml:space="preserve">appropriate </w:t>
      </w:r>
      <w:r w:rsidR="00280316">
        <w:t>to attend</w:t>
      </w:r>
      <w:r>
        <w:t xml:space="preserve"> </w:t>
      </w:r>
      <w:r w:rsidR="00280316">
        <w:t xml:space="preserve">the </w:t>
      </w:r>
      <w:r>
        <w:t xml:space="preserve">Planning </w:t>
      </w:r>
    </w:p>
    <w:p w14:paraId="3F4087BA" w14:textId="1CEA2596" w:rsidR="00AC5703" w:rsidRDefault="00AC5703" w:rsidP="00280316">
      <w:pPr>
        <w:ind w:left="-15" w:right="162" w:firstLine="0"/>
      </w:pPr>
      <w:r>
        <w:t xml:space="preserve">Meetings/Outcome Meetings might be for example, the manager, the owner or the </w:t>
      </w:r>
      <w:r w:rsidR="005E05FD">
        <w:t>j</w:t>
      </w:r>
      <w:r>
        <w:t xml:space="preserve">oint/company director or the Nominated Individual registered with CQC. It is </w:t>
      </w:r>
      <w:r>
        <w:lastRenderedPageBreak/>
        <w:t xml:space="preserve">important that the representative is appropriately senior </w:t>
      </w:r>
      <w:r w:rsidR="005E05FD">
        <w:t>and can act and</w:t>
      </w:r>
      <w:r>
        <w:t xml:space="preserve"> respond on behalf of the organisation</w:t>
      </w:r>
      <w:r w:rsidR="005E05FD">
        <w:t xml:space="preserve"> to help address the concerns raised.</w:t>
      </w:r>
    </w:p>
    <w:p w14:paraId="29A3B0DB" w14:textId="77777777" w:rsidR="00AC5703" w:rsidRDefault="00AC5703" w:rsidP="00AC5703">
      <w:pPr>
        <w:spacing w:after="0" w:line="259" w:lineRule="auto"/>
        <w:ind w:left="0" w:firstLine="0"/>
      </w:pPr>
      <w:r>
        <w:t xml:space="preserve"> </w:t>
      </w:r>
    </w:p>
    <w:p w14:paraId="07C48393" w14:textId="120C2E92" w:rsidR="00AC5703" w:rsidRDefault="00AC5703" w:rsidP="00AC5703">
      <w:pPr>
        <w:ind w:left="-5" w:right="162"/>
      </w:pPr>
      <w:r>
        <w:t>Where the given representative is directly implicated</w:t>
      </w:r>
      <w:r w:rsidR="005E05FD">
        <w:t xml:space="preserve">, </w:t>
      </w:r>
      <w:r>
        <w:t xml:space="preserve">or </w:t>
      </w:r>
      <w:r w:rsidR="005E05FD">
        <w:t xml:space="preserve">their </w:t>
      </w:r>
      <w:r>
        <w:t>attendance may prejudice the planning of an enquiry</w:t>
      </w:r>
      <w:r w:rsidR="005E05FD">
        <w:t>,</w:t>
      </w:r>
      <w:r>
        <w:t xml:space="preserve"> it may not be appropriate for them to be present at the Planning Meeting. If this is the case, an alternative manager should be provided with an opportunity to attend to represent the service</w:t>
      </w:r>
      <w:r w:rsidR="005E05FD">
        <w:t xml:space="preserve">.  </w:t>
      </w:r>
      <w:r>
        <w:t>Communication with and involvement of the organisation must be maintained as fully as possible.</w:t>
      </w:r>
    </w:p>
    <w:p w14:paraId="18F852DB" w14:textId="311362D8" w:rsidR="00AC5703" w:rsidRDefault="00AC5703" w:rsidP="00AC5703">
      <w:pPr>
        <w:ind w:left="-5" w:right="162"/>
      </w:pPr>
      <w:r>
        <w:t>The service provider's organisation should have the opportunity to respond to any concerns raised by the Organisational Safeguarding Enquiry</w:t>
      </w:r>
      <w:r w:rsidR="005E05FD">
        <w:t xml:space="preserve"> and</w:t>
      </w:r>
      <w:r>
        <w:t xml:space="preserve"> be able to review the Formal Report and comment on its findings, as set out within the Joint Multi-Agency Safeguarding Adults Policy and Procedures.  </w:t>
      </w:r>
    </w:p>
    <w:p w14:paraId="098F54BC" w14:textId="77777777" w:rsidR="00AC5703" w:rsidRDefault="00AC5703" w:rsidP="00AC5703">
      <w:pPr>
        <w:ind w:left="-5" w:right="162"/>
      </w:pPr>
    </w:p>
    <w:p w14:paraId="5AB2541C" w14:textId="39102061" w:rsidR="00AC5703" w:rsidRPr="00BD58E8" w:rsidRDefault="00AC5703" w:rsidP="00AC5703">
      <w:pPr>
        <w:ind w:left="-5" w:right="162"/>
        <w:rPr>
          <w:color w:val="auto"/>
        </w:rPr>
      </w:pPr>
      <w:r w:rsidRPr="00BD58E8">
        <w:rPr>
          <w:color w:val="auto"/>
        </w:rPr>
        <w:t xml:space="preserve">The Service Provider may be required to develop an action plan and evidence their progress towards </w:t>
      </w:r>
      <w:r>
        <w:rPr>
          <w:color w:val="auto"/>
        </w:rPr>
        <w:t>goals</w:t>
      </w:r>
      <w:r w:rsidRPr="00BD58E8">
        <w:rPr>
          <w:color w:val="auto"/>
        </w:rPr>
        <w:t>. If the organisation is also subject to regulatory action and has an action plan in place with a regulatory body, it may be necessary to consider combining both safeguarding and regulatory body action plans</w:t>
      </w:r>
      <w:r>
        <w:rPr>
          <w:color w:val="auto"/>
        </w:rPr>
        <w:t xml:space="preserve">. If </w:t>
      </w:r>
      <w:r w:rsidR="005E05FD">
        <w:rPr>
          <w:color w:val="auto"/>
        </w:rPr>
        <w:t>so,</w:t>
      </w:r>
      <w:r>
        <w:rPr>
          <w:color w:val="auto"/>
        </w:rPr>
        <w:t xml:space="preserve"> this will be discussed and agreed by the relevant agencies. Monitoring arrangements will be agreed by all stakeholders. Post-O</w:t>
      </w:r>
      <w:r w:rsidR="009F6DC2">
        <w:rPr>
          <w:color w:val="auto"/>
        </w:rPr>
        <w:t xml:space="preserve">rganisational </w:t>
      </w:r>
      <w:r>
        <w:rPr>
          <w:color w:val="auto"/>
        </w:rPr>
        <w:t>S</w:t>
      </w:r>
      <w:r w:rsidR="009F6DC2">
        <w:rPr>
          <w:color w:val="auto"/>
        </w:rPr>
        <w:t xml:space="preserve">afeguarding </w:t>
      </w:r>
      <w:r>
        <w:rPr>
          <w:color w:val="auto"/>
        </w:rPr>
        <w:t>E</w:t>
      </w:r>
      <w:r w:rsidR="009F6DC2">
        <w:rPr>
          <w:color w:val="auto"/>
        </w:rPr>
        <w:t>nquiry</w:t>
      </w:r>
      <w:r>
        <w:rPr>
          <w:color w:val="auto"/>
        </w:rPr>
        <w:t xml:space="preserve"> monitoring will be carried out in accordance with standard contract monitoring procedures. </w:t>
      </w:r>
    </w:p>
    <w:p w14:paraId="0651AFA2" w14:textId="77777777" w:rsidR="00AC5703" w:rsidRDefault="00AC5703" w:rsidP="00AC5703">
      <w:pPr>
        <w:spacing w:after="0" w:line="259" w:lineRule="auto"/>
        <w:ind w:left="0" w:firstLine="0"/>
      </w:pPr>
      <w:r>
        <w:t xml:space="preserve"> </w:t>
      </w:r>
    </w:p>
    <w:p w14:paraId="06CB9E31" w14:textId="77777777" w:rsidR="00AC5703" w:rsidRPr="00BD58E8" w:rsidRDefault="00AC5703" w:rsidP="00AC5703">
      <w:pPr>
        <w:ind w:left="-5" w:right="162"/>
      </w:pPr>
      <w:r>
        <w:t xml:space="preserve">An appropriate representative of the service provider must be invited to attend the Outcome Meeting. </w:t>
      </w:r>
    </w:p>
    <w:p w14:paraId="4C806417" w14:textId="77777777" w:rsidR="00AC5703" w:rsidRDefault="00AC5703" w:rsidP="00AC5703">
      <w:pPr>
        <w:spacing w:after="0" w:line="259" w:lineRule="auto"/>
        <w:ind w:left="0" w:firstLine="0"/>
      </w:pPr>
      <w:r>
        <w:rPr>
          <w:rFonts w:ascii="Arial" w:eastAsia="Arial" w:hAnsi="Arial" w:cs="Arial"/>
          <w:sz w:val="23"/>
        </w:rPr>
        <w:t xml:space="preserve"> </w:t>
      </w:r>
    </w:p>
    <w:p w14:paraId="748C9939" w14:textId="77777777" w:rsidR="00AC5703" w:rsidRDefault="00AC5703" w:rsidP="00AC5703">
      <w:pPr>
        <w:pStyle w:val="Heading2"/>
        <w:numPr>
          <w:ilvl w:val="1"/>
          <w:numId w:val="15"/>
        </w:numPr>
      </w:pPr>
      <w:bookmarkStart w:id="7" w:name="_Toc21841"/>
      <w:r>
        <w:t xml:space="preserve">Involvement and responsibilities of non-CBMDC placing authorities </w:t>
      </w:r>
      <w:bookmarkEnd w:id="7"/>
    </w:p>
    <w:p w14:paraId="50DF1BDD" w14:textId="77777777" w:rsidR="00AC5703" w:rsidRDefault="00AC5703" w:rsidP="00AC5703">
      <w:pPr>
        <w:spacing w:after="0" w:line="259" w:lineRule="auto"/>
        <w:ind w:left="0" w:firstLine="0"/>
      </w:pPr>
      <w:r>
        <w:rPr>
          <w:rFonts w:ascii="Arial" w:eastAsia="Arial" w:hAnsi="Arial" w:cs="Arial"/>
          <w:b/>
          <w:sz w:val="23"/>
        </w:rPr>
        <w:t xml:space="preserve"> </w:t>
      </w:r>
    </w:p>
    <w:p w14:paraId="1A3CC661" w14:textId="77777777" w:rsidR="00AC5703" w:rsidRDefault="00AC5703" w:rsidP="00AC5703">
      <w:pPr>
        <w:ind w:left="-5" w:right="162"/>
      </w:pPr>
      <w:r>
        <w:t xml:space="preserve">Where an Adult at risk is placed in a service by non-CBMDC placing authorities, then those placing authorities should also be invited to the Planning Meeting/Outcome Meeting.   </w:t>
      </w:r>
    </w:p>
    <w:p w14:paraId="28932998" w14:textId="77777777" w:rsidR="00AC5703" w:rsidRDefault="00AC5703" w:rsidP="00AC5703">
      <w:pPr>
        <w:spacing w:after="0" w:line="259" w:lineRule="auto"/>
        <w:ind w:left="0" w:firstLine="0"/>
      </w:pPr>
      <w:r>
        <w:t xml:space="preserve"> </w:t>
      </w:r>
    </w:p>
    <w:p w14:paraId="30AF6218" w14:textId="77777777" w:rsidR="00AC5703" w:rsidRDefault="00AC5703" w:rsidP="00AC5703">
      <w:pPr>
        <w:ind w:left="-5" w:right="162"/>
      </w:pPr>
      <w:r w:rsidRPr="00744403">
        <w:t>The ADASS (2016) Out-of-Area Safeguarding Adults Arrangements: Guidance for Inter-Authority Safeguarding Adults Enquiry and Protection Arrangements indicates how authorities should work together in these circumstances. Key principles of this guidance are summarised in Section 6.2 below.</w:t>
      </w:r>
      <w:r>
        <w:t xml:space="preserve"> </w:t>
      </w:r>
    </w:p>
    <w:p w14:paraId="5352FD32" w14:textId="77777777" w:rsidR="00AC5703" w:rsidRDefault="00AC5703" w:rsidP="00AC5703">
      <w:pPr>
        <w:ind w:left="-5" w:right="162"/>
      </w:pPr>
    </w:p>
    <w:p w14:paraId="31C85622" w14:textId="77777777" w:rsidR="00AC5703" w:rsidRDefault="00AC5703" w:rsidP="00AC5703">
      <w:pPr>
        <w:spacing w:after="37" w:line="259" w:lineRule="auto"/>
        <w:ind w:left="0" w:firstLine="0"/>
      </w:pPr>
      <w:r>
        <w:rPr>
          <w:rFonts w:ascii="Arial" w:eastAsia="Arial" w:hAnsi="Arial" w:cs="Arial"/>
          <w:sz w:val="23"/>
        </w:rPr>
        <w:t xml:space="preserve"> </w:t>
      </w:r>
    </w:p>
    <w:p w14:paraId="6D9D3090" w14:textId="77777777" w:rsidR="00AC5703" w:rsidRDefault="00AC5703" w:rsidP="00AC5703">
      <w:pPr>
        <w:pStyle w:val="Heading1"/>
        <w:ind w:left="345" w:hanging="360"/>
      </w:pPr>
      <w:bookmarkStart w:id="8" w:name="_Toc21842"/>
      <w:r>
        <w:t xml:space="preserve">Enquiry planning  </w:t>
      </w:r>
      <w:bookmarkEnd w:id="8"/>
    </w:p>
    <w:p w14:paraId="425CF8D4" w14:textId="77777777" w:rsidR="00AC5703" w:rsidRDefault="00AC5703" w:rsidP="00AC5703">
      <w:pPr>
        <w:spacing w:after="0" w:line="259" w:lineRule="auto"/>
        <w:ind w:left="0" w:firstLine="0"/>
      </w:pPr>
      <w:r>
        <w:rPr>
          <w:rFonts w:ascii="Arial" w:eastAsia="Arial" w:hAnsi="Arial" w:cs="Arial"/>
          <w:sz w:val="23"/>
        </w:rPr>
        <w:t xml:space="preserve"> </w:t>
      </w:r>
    </w:p>
    <w:p w14:paraId="03C2A1E1" w14:textId="36133015" w:rsidR="00AC5703" w:rsidRPr="00F84C23" w:rsidRDefault="00AC5703" w:rsidP="00AC5703">
      <w:pPr>
        <w:ind w:left="-5" w:right="162"/>
        <w:rPr>
          <w:rFonts w:eastAsia="Times New Roman" w:cs="Arial"/>
          <w:color w:val="0B0C0C"/>
          <w:szCs w:val="21"/>
        </w:rPr>
      </w:pPr>
      <w:r>
        <w:rPr>
          <w:szCs w:val="21"/>
        </w:rPr>
        <w:t>The purpose of</w:t>
      </w:r>
      <w:r w:rsidRPr="00F84C23">
        <w:rPr>
          <w:szCs w:val="21"/>
        </w:rPr>
        <w:t xml:space="preserve"> </w:t>
      </w:r>
      <w:r>
        <w:rPr>
          <w:szCs w:val="21"/>
        </w:rPr>
        <w:t>individual safeguarding enquiries</w:t>
      </w:r>
      <w:r w:rsidRPr="00F84C23">
        <w:rPr>
          <w:szCs w:val="21"/>
        </w:rPr>
        <w:t xml:space="preserve"> is set out within the</w:t>
      </w:r>
      <w:r w:rsidRPr="00F84C23">
        <w:rPr>
          <w:rFonts w:eastAsia="Times New Roman" w:cs="Arial"/>
          <w:color w:val="0B0C0C"/>
          <w:szCs w:val="21"/>
        </w:rPr>
        <w:t xml:space="preserve"> </w:t>
      </w:r>
      <w:r>
        <w:rPr>
          <w:rFonts w:eastAsia="Times New Roman" w:cs="Arial"/>
          <w:color w:val="0B0C0C"/>
          <w:szCs w:val="21"/>
        </w:rPr>
        <w:t>Joint</w:t>
      </w:r>
      <w:r w:rsidRPr="00F84C23">
        <w:rPr>
          <w:rFonts w:eastAsia="Times New Roman" w:cs="Arial"/>
          <w:color w:val="0B0C0C"/>
          <w:szCs w:val="21"/>
        </w:rPr>
        <w:t xml:space="preserve"> Multi-Agency Safeguarding Adults Policy</w:t>
      </w:r>
      <w:r w:rsidR="005E05FD">
        <w:rPr>
          <w:rFonts w:eastAsia="Times New Roman" w:cs="Arial"/>
          <w:color w:val="0B0C0C"/>
          <w:szCs w:val="21"/>
        </w:rPr>
        <w:t xml:space="preserve"> and Procedure</w:t>
      </w:r>
      <w:r w:rsidRPr="00F84C23">
        <w:rPr>
          <w:rFonts w:eastAsia="Times New Roman" w:cs="Arial"/>
          <w:color w:val="0B0C0C"/>
          <w:szCs w:val="21"/>
        </w:rPr>
        <w:t>.</w:t>
      </w:r>
    </w:p>
    <w:p w14:paraId="5CC8E571" w14:textId="77777777" w:rsidR="00AC5703" w:rsidRDefault="00AC5703" w:rsidP="00AC5703">
      <w:pPr>
        <w:ind w:left="-5" w:right="162"/>
      </w:pPr>
    </w:p>
    <w:p w14:paraId="2216FC71" w14:textId="0D1F38EB" w:rsidR="00AC5703" w:rsidRDefault="00AC5703" w:rsidP="00AC5703">
      <w:pPr>
        <w:ind w:left="-5" w:right="162"/>
      </w:pPr>
      <w:r>
        <w:t xml:space="preserve">The decision to undertake an Organisational Safeguarding Enquiry will need to be made by the local authority.  An Organisational Safeguarding Enquiry is separate from an individual </w:t>
      </w:r>
      <w:r w:rsidR="00074965">
        <w:t xml:space="preserve">s42 </w:t>
      </w:r>
      <w:r>
        <w:t xml:space="preserve">safeguarding enquiry and will require a separate Formal Report. Consideration should be given as to whether the </w:t>
      </w:r>
      <w:r w:rsidR="00074965" w:rsidRPr="00431AE7">
        <w:t>OSE</w:t>
      </w:r>
      <w:r w:rsidRPr="00431AE7">
        <w:t xml:space="preserve"> Coordinator</w:t>
      </w:r>
      <w:r>
        <w:t xml:space="preserve"> for the Organisational Safeguarding Enquiry should be the same person who has overseen</w:t>
      </w:r>
      <w:r w:rsidR="005E05FD">
        <w:t xml:space="preserve"> any</w:t>
      </w:r>
      <w:r>
        <w:t xml:space="preserve"> individual</w:t>
      </w:r>
      <w:r w:rsidR="005E05FD">
        <w:t xml:space="preserve"> safeguarding</w:t>
      </w:r>
      <w:r>
        <w:t xml:space="preserve"> enquiries. This will often be advantageous, but it may not always be necessary</w:t>
      </w:r>
      <w:r w:rsidR="00074965">
        <w:t xml:space="preserve"> or appropriate</w:t>
      </w:r>
      <w:r>
        <w:t xml:space="preserve">.  </w:t>
      </w:r>
    </w:p>
    <w:p w14:paraId="66DF2D1A" w14:textId="77777777" w:rsidR="00AC5703" w:rsidRDefault="00AC5703" w:rsidP="00AC5703">
      <w:pPr>
        <w:spacing w:after="0" w:line="259" w:lineRule="auto"/>
        <w:ind w:left="0" w:firstLine="0"/>
      </w:pPr>
      <w:r>
        <w:t xml:space="preserve"> </w:t>
      </w:r>
    </w:p>
    <w:p w14:paraId="1AD2252D" w14:textId="77777777" w:rsidR="00AC5703" w:rsidRDefault="00AC5703" w:rsidP="00AC5703">
      <w:pPr>
        <w:ind w:left="-5" w:right="162"/>
      </w:pPr>
      <w:r>
        <w:t xml:space="preserve">When undertaking an Organisational Safeguarding Enquiry, it will be necessary to: </w:t>
      </w:r>
    </w:p>
    <w:p w14:paraId="0AE8E3F3" w14:textId="77777777" w:rsidR="00AC5703" w:rsidRDefault="00AC5703" w:rsidP="00AC5703">
      <w:pPr>
        <w:spacing w:after="13" w:line="259" w:lineRule="auto"/>
        <w:ind w:left="0" w:firstLine="0"/>
      </w:pPr>
      <w:r>
        <w:t xml:space="preserve"> </w:t>
      </w:r>
      <w:r>
        <w:tab/>
        <w:t xml:space="preserve"> </w:t>
      </w:r>
      <w:r>
        <w:tab/>
        <w:t xml:space="preserve"> </w:t>
      </w:r>
    </w:p>
    <w:p w14:paraId="237DA863" w14:textId="38C6EF09" w:rsidR="00AC5703" w:rsidRDefault="00AC5703" w:rsidP="00AC5703">
      <w:pPr>
        <w:numPr>
          <w:ilvl w:val="0"/>
          <w:numId w:val="2"/>
        </w:numPr>
        <w:ind w:right="162" w:hanging="360"/>
      </w:pPr>
      <w:r>
        <w:lastRenderedPageBreak/>
        <w:t>draw upon and summarise the relevant aspects and conclusions of any individual enquiries</w:t>
      </w:r>
      <w:r w:rsidR="005E05FD">
        <w:t>.</w:t>
      </w:r>
      <w:r>
        <w:t xml:space="preserve">  </w:t>
      </w:r>
    </w:p>
    <w:p w14:paraId="26B19FE7" w14:textId="12AAAD4C" w:rsidR="00AC5703" w:rsidRDefault="00AC5703" w:rsidP="00AC5703">
      <w:pPr>
        <w:numPr>
          <w:ilvl w:val="0"/>
          <w:numId w:val="2"/>
        </w:numPr>
        <w:ind w:right="162" w:hanging="360"/>
      </w:pPr>
      <w:r>
        <w:t>focus on the service wide concerns and/or common themes of individual enquiries and the underlying causes of the alleged abuse</w:t>
      </w:r>
      <w:r w:rsidR="005E05FD">
        <w:t xml:space="preserve"> or neglect</w:t>
      </w:r>
      <w:r>
        <w:t xml:space="preserve">.  </w:t>
      </w:r>
    </w:p>
    <w:p w14:paraId="075034C4" w14:textId="1996B932" w:rsidR="00AC5703" w:rsidRDefault="00AC5703" w:rsidP="00AC5703">
      <w:pPr>
        <w:numPr>
          <w:ilvl w:val="0"/>
          <w:numId w:val="2"/>
        </w:numPr>
        <w:ind w:right="162" w:hanging="360"/>
      </w:pPr>
      <w:r>
        <w:t xml:space="preserve">consider the need for additional enquiries, as required, to understand the presenting issues such as relevant policies, procedures, </w:t>
      </w:r>
      <w:r w:rsidR="005E05FD">
        <w:t>training,</w:t>
      </w:r>
      <w:r>
        <w:t xml:space="preserve"> and staff practices.  </w:t>
      </w:r>
    </w:p>
    <w:p w14:paraId="2B05007F" w14:textId="77777777" w:rsidR="00AC5703" w:rsidRDefault="00AC5703" w:rsidP="00AC5703">
      <w:pPr>
        <w:numPr>
          <w:ilvl w:val="0"/>
          <w:numId w:val="2"/>
        </w:numPr>
        <w:ind w:right="162" w:hanging="360"/>
      </w:pPr>
      <w:r>
        <w:t>provide opportunity for the service provider to respond to organisational abuse concerns and Organisational Safeguarding Enquiry findings.</w:t>
      </w:r>
    </w:p>
    <w:p w14:paraId="79F0D1F0" w14:textId="77777777" w:rsidR="00AC5703" w:rsidRDefault="00AC5703" w:rsidP="00AC5703">
      <w:pPr>
        <w:spacing w:after="0" w:line="259" w:lineRule="auto"/>
        <w:ind w:left="0" w:firstLine="0"/>
      </w:pPr>
      <w:r>
        <w:t xml:space="preserve"> </w:t>
      </w:r>
    </w:p>
    <w:p w14:paraId="26B2E12B" w14:textId="3CEDF3F2" w:rsidR="00AC5703" w:rsidRPr="00BD58E8" w:rsidRDefault="00AC5703" w:rsidP="00AC5703">
      <w:pPr>
        <w:ind w:left="-5" w:right="162"/>
        <w:rPr>
          <w:color w:val="auto"/>
        </w:rPr>
      </w:pPr>
      <w:r w:rsidRPr="00BD58E8">
        <w:rPr>
          <w:color w:val="auto"/>
        </w:rPr>
        <w:t xml:space="preserve">Organisational Safeguarding Enquiries should be given suitable attention and priority by all involved. This is to ensure identified issues and concerns are addressed promptly. Once the Organisational Safeguarding Enquiry has commenced, </w:t>
      </w:r>
      <w:r w:rsidR="009362A4">
        <w:rPr>
          <w:color w:val="auto"/>
        </w:rPr>
        <w:t>the need for any further</w:t>
      </w:r>
      <w:r w:rsidRPr="00BD58E8">
        <w:rPr>
          <w:color w:val="auto"/>
        </w:rPr>
        <w:t xml:space="preserve"> individual safeguarding enquiries </w:t>
      </w:r>
      <w:r w:rsidR="009362A4">
        <w:rPr>
          <w:color w:val="auto"/>
        </w:rPr>
        <w:t>must</w:t>
      </w:r>
      <w:r w:rsidRPr="00BD58E8">
        <w:rPr>
          <w:color w:val="auto"/>
        </w:rPr>
        <w:t xml:space="preserve"> be considered. </w:t>
      </w:r>
    </w:p>
    <w:p w14:paraId="37750790" w14:textId="77777777" w:rsidR="00AC5703" w:rsidRDefault="00AC5703" w:rsidP="00AC5703">
      <w:pPr>
        <w:spacing w:after="0" w:line="259" w:lineRule="auto"/>
        <w:ind w:left="0" w:firstLine="0"/>
      </w:pPr>
      <w:r>
        <w:rPr>
          <w:rFonts w:ascii="Arial" w:eastAsia="Arial" w:hAnsi="Arial" w:cs="Arial"/>
          <w:sz w:val="20"/>
        </w:rPr>
        <w:t xml:space="preserve"> </w:t>
      </w:r>
    </w:p>
    <w:p w14:paraId="1FAFEA18" w14:textId="77777777" w:rsidR="00AC5703" w:rsidRPr="00BD58E8" w:rsidRDefault="00AC5703" w:rsidP="00AC5703">
      <w:pPr>
        <w:pStyle w:val="Heading2"/>
        <w:ind w:left="719" w:hanging="734"/>
      </w:pPr>
      <w:r>
        <w:rPr>
          <w:rFonts w:ascii="Arial" w:eastAsia="Arial" w:hAnsi="Arial" w:cs="Arial"/>
          <w:sz w:val="20"/>
        </w:rPr>
        <w:t xml:space="preserve"> </w:t>
      </w:r>
      <w:bookmarkStart w:id="9" w:name="_Toc21843"/>
      <w:r>
        <w:t xml:space="preserve">The </w:t>
      </w:r>
      <w:r w:rsidRPr="00BD58E8">
        <w:t>Organisational Safeguarding Enquiry</w:t>
      </w:r>
      <w:r>
        <w:t xml:space="preserve"> Process</w:t>
      </w:r>
      <w:bookmarkEnd w:id="9"/>
    </w:p>
    <w:p w14:paraId="3AB458D6" w14:textId="77777777" w:rsidR="00AC5703" w:rsidRDefault="00AC5703" w:rsidP="00AC5703">
      <w:pPr>
        <w:spacing w:after="0" w:line="259" w:lineRule="auto"/>
        <w:ind w:left="0" w:firstLine="0"/>
      </w:pPr>
    </w:p>
    <w:p w14:paraId="33C0D379" w14:textId="3059313F" w:rsidR="00AC5703" w:rsidRPr="00F074FF" w:rsidRDefault="00AC5703" w:rsidP="00AC5703">
      <w:pPr>
        <w:ind w:left="-5" w:right="162"/>
        <w:rPr>
          <w:color w:val="000000" w:themeColor="text1"/>
        </w:rPr>
      </w:pPr>
      <w:r w:rsidRPr="00F074FF">
        <w:rPr>
          <w:color w:val="000000" w:themeColor="text1"/>
        </w:rPr>
        <w:t>The local authority is responsible for chairing and co-ordinating Organisational Safeguarding Enquiries.</w:t>
      </w:r>
      <w:r w:rsidR="00074965">
        <w:rPr>
          <w:color w:val="000000" w:themeColor="text1"/>
        </w:rPr>
        <w:t xml:space="preserve">  The OSE Coordinator will chair the process.</w:t>
      </w:r>
      <w:r w:rsidRPr="00F074FF">
        <w:rPr>
          <w:color w:val="000000" w:themeColor="text1"/>
        </w:rPr>
        <w:t xml:space="preserve"> </w:t>
      </w:r>
    </w:p>
    <w:p w14:paraId="077D989C" w14:textId="77777777" w:rsidR="00AC5703" w:rsidRPr="00F074FF" w:rsidRDefault="00AC5703" w:rsidP="00AC5703">
      <w:pPr>
        <w:ind w:left="-5" w:right="162"/>
        <w:rPr>
          <w:color w:val="000000" w:themeColor="text1"/>
        </w:rPr>
      </w:pPr>
    </w:p>
    <w:p w14:paraId="78544F5E" w14:textId="77777777" w:rsidR="00AC5703" w:rsidRDefault="00AC5703" w:rsidP="00AC5703">
      <w:pPr>
        <w:ind w:left="-5" w:right="162"/>
        <w:rPr>
          <w:color w:val="000000" w:themeColor="text1"/>
        </w:rPr>
      </w:pPr>
      <w:r w:rsidRPr="00F074FF">
        <w:rPr>
          <w:color w:val="000000" w:themeColor="text1"/>
        </w:rPr>
        <w:t xml:space="preserve">Any person or organisation can submit a request for an Organisational Safeguarding Enquiry. The Safeguarding Adults Service will screen the referral and make the decision as to whether an Organisational Safeguarding Enquiry will be carried out. </w:t>
      </w:r>
    </w:p>
    <w:p w14:paraId="5575B9EA" w14:textId="77777777" w:rsidR="00AC5703" w:rsidRDefault="00AC5703" w:rsidP="00AC5703">
      <w:pPr>
        <w:ind w:left="-5" w:right="162"/>
        <w:rPr>
          <w:color w:val="000000" w:themeColor="text1"/>
        </w:rPr>
      </w:pPr>
    </w:p>
    <w:p w14:paraId="206A2E16" w14:textId="77777777" w:rsidR="00AC5703" w:rsidRPr="00F074FF" w:rsidRDefault="00AC5703" w:rsidP="00AC5703">
      <w:pPr>
        <w:ind w:left="-5" w:right="162"/>
        <w:rPr>
          <w:color w:val="000000" w:themeColor="text1"/>
        </w:rPr>
      </w:pPr>
      <w:r>
        <w:rPr>
          <w:color w:val="000000" w:themeColor="text1"/>
        </w:rPr>
        <w:t xml:space="preserve">The referral form can be accessed here: </w:t>
      </w:r>
      <w:hyperlink r:id="rId12" w:history="1">
        <w:r w:rsidRPr="006B04D4">
          <w:rPr>
            <w:rStyle w:val="Hyperlink"/>
          </w:rPr>
          <w:t>www.saferbradford.co.uk/adults</w:t>
        </w:r>
      </w:hyperlink>
    </w:p>
    <w:p w14:paraId="2476C0EF" w14:textId="77777777" w:rsidR="00AC5703" w:rsidRPr="00F074FF" w:rsidRDefault="00AC5703" w:rsidP="00AC5703">
      <w:pPr>
        <w:ind w:left="-5" w:right="162"/>
        <w:rPr>
          <w:color w:val="000000" w:themeColor="text1"/>
        </w:rPr>
      </w:pPr>
    </w:p>
    <w:p w14:paraId="7AD45A7A" w14:textId="012614EC" w:rsidR="00AC5703" w:rsidRPr="00F074FF" w:rsidRDefault="00AC5703" w:rsidP="00AC5703">
      <w:pPr>
        <w:ind w:left="-5" w:right="162"/>
        <w:rPr>
          <w:color w:val="000000" w:themeColor="text1"/>
        </w:rPr>
      </w:pPr>
      <w:r w:rsidRPr="00F074FF">
        <w:rPr>
          <w:color w:val="000000" w:themeColor="text1"/>
        </w:rPr>
        <w:t xml:space="preserve">On receipt of an Organisational Safeguarding Enquiry </w:t>
      </w:r>
      <w:r w:rsidR="00EE3748">
        <w:rPr>
          <w:color w:val="000000" w:themeColor="text1"/>
        </w:rPr>
        <w:t xml:space="preserve">referral </w:t>
      </w:r>
      <w:r w:rsidRPr="00F074FF">
        <w:rPr>
          <w:color w:val="000000" w:themeColor="text1"/>
        </w:rPr>
        <w:t xml:space="preserve">a decision will be made within 48 hours as to whether initial enquiries will be undertaken. </w:t>
      </w:r>
      <w:r>
        <w:rPr>
          <w:color w:val="000000" w:themeColor="text1"/>
        </w:rPr>
        <w:t xml:space="preserve">The outcome of the decision will be shared and discussed with the reporter. </w:t>
      </w:r>
    </w:p>
    <w:p w14:paraId="3F9FE95D" w14:textId="77777777" w:rsidR="00AC5703" w:rsidRPr="00F074FF" w:rsidRDefault="00AC5703" w:rsidP="00AC5703">
      <w:pPr>
        <w:ind w:left="-5" w:right="162"/>
        <w:rPr>
          <w:color w:val="000000" w:themeColor="text1"/>
        </w:rPr>
      </w:pPr>
    </w:p>
    <w:p w14:paraId="74C8761D" w14:textId="110ADE98" w:rsidR="00AC5703" w:rsidRPr="00F074FF" w:rsidRDefault="00AC5703" w:rsidP="00AC5703">
      <w:pPr>
        <w:ind w:left="-5" w:right="162"/>
        <w:rPr>
          <w:color w:val="000000" w:themeColor="text1"/>
        </w:rPr>
      </w:pPr>
      <w:r w:rsidRPr="00F074FF">
        <w:rPr>
          <w:color w:val="000000" w:themeColor="text1"/>
        </w:rPr>
        <w:t xml:space="preserve">Initial Enquiries at stage 2 will commence immediately and aim to conclude within 4 weeks. </w:t>
      </w:r>
      <w:r>
        <w:rPr>
          <w:color w:val="000000" w:themeColor="text1"/>
        </w:rPr>
        <w:t xml:space="preserve">The primary focus of stage 2 enquiries is to gather information and assess the level of risk. </w:t>
      </w:r>
      <w:r w:rsidRPr="00F074FF">
        <w:rPr>
          <w:color w:val="000000" w:themeColor="text1"/>
        </w:rPr>
        <w:t xml:space="preserve">If an Organisational Safeguarding Enquiry cannot be concluded at stage 2, it will be progressed to stage 3. </w:t>
      </w:r>
      <w:r>
        <w:rPr>
          <w:color w:val="000000" w:themeColor="text1"/>
        </w:rPr>
        <w:t>Once progressed to stage 3 all placing commissioners will be informed that an O</w:t>
      </w:r>
      <w:r w:rsidR="00074965">
        <w:rPr>
          <w:color w:val="000000" w:themeColor="text1"/>
        </w:rPr>
        <w:t xml:space="preserve">rganisational </w:t>
      </w:r>
      <w:r>
        <w:rPr>
          <w:color w:val="000000" w:themeColor="text1"/>
        </w:rPr>
        <w:t>S</w:t>
      </w:r>
      <w:r w:rsidR="00074965">
        <w:rPr>
          <w:color w:val="000000" w:themeColor="text1"/>
        </w:rPr>
        <w:t xml:space="preserve">afeguarding </w:t>
      </w:r>
      <w:r>
        <w:rPr>
          <w:color w:val="000000" w:themeColor="text1"/>
        </w:rPr>
        <w:t>E</w:t>
      </w:r>
      <w:r w:rsidR="00074965">
        <w:rPr>
          <w:color w:val="000000" w:themeColor="text1"/>
        </w:rPr>
        <w:t>nquiry</w:t>
      </w:r>
      <w:r>
        <w:rPr>
          <w:color w:val="000000" w:themeColor="text1"/>
        </w:rPr>
        <w:t xml:space="preserve"> has commenced and </w:t>
      </w:r>
      <w:r w:rsidR="00074965">
        <w:rPr>
          <w:color w:val="000000" w:themeColor="text1"/>
        </w:rPr>
        <w:t xml:space="preserve">will be </w:t>
      </w:r>
      <w:r>
        <w:rPr>
          <w:color w:val="000000" w:themeColor="text1"/>
        </w:rPr>
        <w:t>invited to take part in the process.</w:t>
      </w:r>
    </w:p>
    <w:p w14:paraId="496834DD" w14:textId="77777777" w:rsidR="00AC5703" w:rsidRPr="00F074FF" w:rsidRDefault="00AC5703" w:rsidP="00AC5703">
      <w:pPr>
        <w:ind w:left="-5" w:right="162"/>
        <w:rPr>
          <w:color w:val="000000" w:themeColor="text1"/>
        </w:rPr>
      </w:pPr>
    </w:p>
    <w:p w14:paraId="3DC0E5B7" w14:textId="5ECB43F1" w:rsidR="00AC5703" w:rsidRPr="00F074FF" w:rsidRDefault="00AC5703" w:rsidP="00AC5703">
      <w:pPr>
        <w:ind w:left="-5" w:right="162"/>
        <w:rPr>
          <w:color w:val="000000" w:themeColor="text1"/>
        </w:rPr>
      </w:pPr>
      <w:r w:rsidRPr="00F074FF">
        <w:rPr>
          <w:color w:val="000000" w:themeColor="text1"/>
        </w:rPr>
        <w:t xml:space="preserve">Stage 3 enquiries will aim to be concluded within 6 months. Successful closure of the Organisational Safeguarding Enquiry will depend on </w:t>
      </w:r>
      <w:r w:rsidR="000E33AA" w:rsidRPr="00F074FF">
        <w:rPr>
          <w:color w:val="000000" w:themeColor="text1"/>
        </w:rPr>
        <w:t>several</w:t>
      </w:r>
      <w:r w:rsidRPr="00F074FF">
        <w:rPr>
          <w:color w:val="000000" w:themeColor="text1"/>
        </w:rPr>
        <w:t xml:space="preserve"> </w:t>
      </w:r>
      <w:r w:rsidR="000E33AA">
        <w:rPr>
          <w:color w:val="000000" w:themeColor="text1"/>
        </w:rPr>
        <w:t xml:space="preserve">different </w:t>
      </w:r>
      <w:r w:rsidRPr="00F074FF">
        <w:rPr>
          <w:color w:val="000000" w:themeColor="text1"/>
        </w:rPr>
        <w:t xml:space="preserve">factors including evidence of progress against actions by the provider, increased safety of individuals within the organisation, and timely actions being completed by multi agency partners. </w:t>
      </w:r>
    </w:p>
    <w:p w14:paraId="2C3978BF" w14:textId="77777777" w:rsidR="00AC5703" w:rsidRPr="00F074FF" w:rsidRDefault="00AC5703" w:rsidP="00AC5703">
      <w:pPr>
        <w:ind w:left="-5" w:right="162"/>
        <w:rPr>
          <w:color w:val="000000" w:themeColor="text1"/>
        </w:rPr>
      </w:pPr>
    </w:p>
    <w:p w14:paraId="33D9F401" w14:textId="77777777" w:rsidR="00AC5703" w:rsidRPr="00F074FF" w:rsidRDefault="00AC5703" w:rsidP="00AC5703">
      <w:pPr>
        <w:ind w:left="-5" w:right="162"/>
        <w:rPr>
          <w:color w:val="000000" w:themeColor="text1"/>
        </w:rPr>
      </w:pPr>
      <w:r w:rsidRPr="00F074FF">
        <w:rPr>
          <w:color w:val="000000" w:themeColor="text1"/>
        </w:rPr>
        <w:t xml:space="preserve">The process will be concluded at stage 4 with an outcomes and closure meeting. </w:t>
      </w:r>
    </w:p>
    <w:p w14:paraId="4B72A22E" w14:textId="77777777" w:rsidR="00AC5703" w:rsidRPr="00F074FF" w:rsidRDefault="00AC5703" w:rsidP="00AC5703">
      <w:pPr>
        <w:ind w:left="-5" w:right="162"/>
        <w:rPr>
          <w:color w:val="000000" w:themeColor="text1"/>
        </w:rPr>
      </w:pPr>
    </w:p>
    <w:p w14:paraId="07C4940F" w14:textId="77777777" w:rsidR="00AC5703" w:rsidRDefault="00AC5703" w:rsidP="00AC5703">
      <w:pPr>
        <w:ind w:left="0" w:right="162" w:firstLine="0"/>
        <w:rPr>
          <w:rStyle w:val="Hyperlink"/>
        </w:rPr>
      </w:pPr>
    </w:p>
    <w:p w14:paraId="1B70B2A8" w14:textId="77777777" w:rsidR="00AC5703" w:rsidRDefault="00AC5703" w:rsidP="00AC5703">
      <w:pPr>
        <w:ind w:left="0" w:right="162" w:firstLine="0"/>
        <w:rPr>
          <w:color w:val="0563C1" w:themeColor="hyperlink"/>
          <w:u w:val="single"/>
        </w:rPr>
      </w:pPr>
      <w:r w:rsidRPr="00FA0B96">
        <w:rPr>
          <w:b/>
          <w:noProof/>
          <w:color w:val="2F5496" w:themeColor="accent1" w:themeShade="BF"/>
        </w:rPr>
        <w:lastRenderedPageBreak/>
        <w:drawing>
          <wp:inline distT="0" distB="0" distL="0" distR="0" wp14:anchorId="07DB01BC" wp14:editId="77DE4217">
            <wp:extent cx="4886325" cy="2590800"/>
            <wp:effectExtent l="0" t="0" r="952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D829B24" w14:textId="77777777" w:rsidR="00AC5703" w:rsidRDefault="00AC5703" w:rsidP="00AC5703">
      <w:pPr>
        <w:ind w:left="0" w:right="162" w:firstLine="0"/>
        <w:rPr>
          <w:color w:val="0563C1" w:themeColor="hyperlink"/>
          <w:u w:val="single"/>
        </w:rPr>
      </w:pPr>
    </w:p>
    <w:p w14:paraId="26869231" w14:textId="77777777" w:rsidR="00AC5703" w:rsidRPr="00F074FF" w:rsidRDefault="00AC5703" w:rsidP="00AC5703">
      <w:pPr>
        <w:ind w:left="0" w:right="162" w:firstLine="0"/>
        <w:rPr>
          <w:color w:val="0563C1" w:themeColor="hyperlink"/>
          <w:u w:val="single"/>
        </w:rPr>
      </w:pPr>
    </w:p>
    <w:p w14:paraId="13A31AAD" w14:textId="77777777" w:rsidR="00AC5703" w:rsidRDefault="00AC5703" w:rsidP="00AC5703">
      <w:pPr>
        <w:pStyle w:val="Heading2"/>
        <w:ind w:left="705" w:hanging="720"/>
      </w:pPr>
      <w:bookmarkStart w:id="10" w:name="_Toc21844"/>
      <w:r>
        <w:t xml:space="preserve">Safeguarding plans </w:t>
      </w:r>
      <w:bookmarkEnd w:id="10"/>
    </w:p>
    <w:p w14:paraId="73430D27" w14:textId="77777777" w:rsidR="00AC5703" w:rsidRDefault="00AC5703" w:rsidP="00AC5703">
      <w:pPr>
        <w:spacing w:after="12" w:line="259" w:lineRule="auto"/>
        <w:ind w:left="0" w:firstLine="0"/>
      </w:pPr>
      <w:r>
        <w:rPr>
          <w:rFonts w:ascii="Arial" w:eastAsia="Arial" w:hAnsi="Arial" w:cs="Arial"/>
          <w:b/>
          <w:sz w:val="20"/>
        </w:rPr>
        <w:t xml:space="preserve"> </w:t>
      </w:r>
    </w:p>
    <w:p w14:paraId="6E5C74BF" w14:textId="4FAC44E2" w:rsidR="00AC5703" w:rsidRDefault="00AC5703" w:rsidP="00AC5703">
      <w:pPr>
        <w:ind w:left="-5" w:right="162"/>
      </w:pPr>
      <w:r>
        <w:t>Individual safeguarding enquiries will focus on the Adult at Risk’s safeguarding needs.  Where there are proposed changes to individual service user</w:t>
      </w:r>
      <w:r w:rsidR="000E33AA">
        <w:t xml:space="preserve"> or patient</w:t>
      </w:r>
      <w:r>
        <w:t xml:space="preserve"> care plans they will need to be consulted</w:t>
      </w:r>
      <w:r w:rsidR="000E33AA">
        <w:t xml:space="preserve"> with and appropriately </w:t>
      </w:r>
      <w:r>
        <w:t xml:space="preserve">informed before changes are made.   </w:t>
      </w:r>
    </w:p>
    <w:p w14:paraId="6BF7ACA9" w14:textId="77777777" w:rsidR="00AC5703" w:rsidRDefault="00AC5703" w:rsidP="00AC5703">
      <w:pPr>
        <w:spacing w:after="0" w:line="259" w:lineRule="auto"/>
        <w:ind w:left="0" w:firstLine="0"/>
      </w:pPr>
    </w:p>
    <w:p w14:paraId="17A7B12E" w14:textId="0E2DC51F" w:rsidR="00AC5703" w:rsidRPr="00AB2874" w:rsidRDefault="00AC5703" w:rsidP="00AC5703">
      <w:pPr>
        <w:ind w:left="-5" w:right="162"/>
        <w:rPr>
          <w:color w:val="4472C4" w:themeColor="accent1"/>
        </w:rPr>
      </w:pPr>
      <w:r>
        <w:t>The Organisational Safeguarding Enquiry will need to assess the risk to individuals within the service and consider the need for arrangements in relation to service users more generally. Service</w:t>
      </w:r>
      <w:r w:rsidR="00EE3748">
        <w:t>-</w:t>
      </w:r>
      <w:r>
        <w:t xml:space="preserve">wide actions may include staff guidance, reviews of policies and procedures, reviews of staffing numbers, immediate training needs, </w:t>
      </w:r>
      <w:r w:rsidRPr="00F074FF">
        <w:rPr>
          <w:color w:val="000000" w:themeColor="text1"/>
        </w:rPr>
        <w:t xml:space="preserve">reviewing documentation, reviewing risk </w:t>
      </w:r>
      <w:r w:rsidR="000E33AA" w:rsidRPr="00F074FF">
        <w:rPr>
          <w:color w:val="000000" w:themeColor="text1"/>
        </w:rPr>
        <w:t>assessments,</w:t>
      </w:r>
      <w:r w:rsidRPr="00F074FF">
        <w:rPr>
          <w:color w:val="000000" w:themeColor="text1"/>
        </w:rPr>
        <w:t xml:space="preserve"> and reviewing of care</w:t>
      </w:r>
      <w:r>
        <w:rPr>
          <w:color w:val="000000" w:themeColor="text1"/>
        </w:rPr>
        <w:t xml:space="preserve"> </w:t>
      </w:r>
      <w:r w:rsidRPr="00F074FF">
        <w:rPr>
          <w:color w:val="000000" w:themeColor="text1"/>
        </w:rPr>
        <w:t xml:space="preserve">plans. This list is not exhaustive and other actions may be required. </w:t>
      </w:r>
    </w:p>
    <w:p w14:paraId="1744E6D7" w14:textId="77777777" w:rsidR="00AC5703" w:rsidRDefault="00AC5703" w:rsidP="00AC5703">
      <w:pPr>
        <w:spacing w:after="0" w:line="259" w:lineRule="auto"/>
        <w:ind w:left="0" w:firstLine="0"/>
      </w:pPr>
      <w:r>
        <w:t xml:space="preserve"> </w:t>
      </w:r>
    </w:p>
    <w:p w14:paraId="49587144" w14:textId="423196BC" w:rsidR="00AC5703" w:rsidRPr="0023489D" w:rsidRDefault="00AC5703" w:rsidP="00AC5703">
      <w:pPr>
        <w:ind w:left="-5" w:right="162"/>
        <w:rPr>
          <w:color w:val="auto"/>
        </w:rPr>
      </w:pPr>
      <w:r>
        <w:t xml:space="preserve">Additional service improvements may be separately required by </w:t>
      </w:r>
      <w:r w:rsidR="000E33AA">
        <w:t>c</w:t>
      </w:r>
      <w:r>
        <w:t xml:space="preserve">ontracting/ commissioning organisations and the Care Quality Commission which continue outside of the Organisational Safeguarding Enquiry </w:t>
      </w:r>
      <w:r w:rsidR="000E33AA">
        <w:t>p</w:t>
      </w:r>
      <w:r>
        <w:t xml:space="preserve">rocedures. Following evidence of improvements </w:t>
      </w:r>
      <w:r w:rsidR="000E33AA">
        <w:t xml:space="preserve">being made </w:t>
      </w:r>
      <w:r>
        <w:t xml:space="preserve">within the organisation and a </w:t>
      </w:r>
      <w:r w:rsidR="000E33AA">
        <w:t xml:space="preserve">multi-agency </w:t>
      </w:r>
      <w:r>
        <w:t xml:space="preserve">decision being made to exit, all involved parties will be notified and invited to an </w:t>
      </w:r>
      <w:r w:rsidR="000E33AA">
        <w:t>O</w:t>
      </w:r>
      <w:r>
        <w:t xml:space="preserve">utcomes </w:t>
      </w:r>
      <w:r w:rsidR="000E33AA">
        <w:t>M</w:t>
      </w:r>
      <w:r>
        <w:t xml:space="preserve">eeting.  </w:t>
      </w:r>
    </w:p>
    <w:p w14:paraId="60FE0927" w14:textId="77777777" w:rsidR="00AC5703" w:rsidRPr="0023489D" w:rsidRDefault="00AC5703" w:rsidP="00AC5703">
      <w:pPr>
        <w:spacing w:after="7" w:line="259" w:lineRule="auto"/>
        <w:ind w:left="0" w:firstLine="0"/>
      </w:pPr>
      <w:r w:rsidRPr="0023489D">
        <w:rPr>
          <w:rFonts w:ascii="Arial" w:eastAsia="Arial" w:hAnsi="Arial" w:cs="Arial"/>
          <w:sz w:val="20"/>
        </w:rPr>
        <w:t xml:space="preserve"> </w:t>
      </w:r>
    </w:p>
    <w:p w14:paraId="0CB21A01" w14:textId="77777777" w:rsidR="00AC5703" w:rsidRDefault="00AC5703" w:rsidP="00AC5703">
      <w:pPr>
        <w:pStyle w:val="Heading2"/>
        <w:ind w:left="705" w:hanging="720"/>
      </w:pPr>
      <w:bookmarkStart w:id="11" w:name="_Toc21845"/>
      <w:r>
        <w:t xml:space="preserve">Outcome meetings </w:t>
      </w:r>
      <w:bookmarkEnd w:id="11"/>
    </w:p>
    <w:p w14:paraId="279C3D01" w14:textId="77777777" w:rsidR="00AC5703" w:rsidRDefault="00AC5703" w:rsidP="00AC5703">
      <w:pPr>
        <w:spacing w:after="9" w:line="259" w:lineRule="auto"/>
        <w:ind w:left="0" w:firstLine="0"/>
      </w:pPr>
      <w:r>
        <w:rPr>
          <w:rFonts w:ascii="Arial" w:eastAsia="Arial" w:hAnsi="Arial" w:cs="Arial"/>
          <w:sz w:val="20"/>
        </w:rPr>
        <w:t xml:space="preserve"> </w:t>
      </w:r>
    </w:p>
    <w:p w14:paraId="2FDD2263" w14:textId="76516BDB" w:rsidR="00AC5703" w:rsidRDefault="00AC5703" w:rsidP="00AC5703">
      <w:pPr>
        <w:ind w:left="-5" w:right="162"/>
      </w:pPr>
      <w:r>
        <w:t>Where an Organisational Safeguarding Enquiry has been undertaken, an Outcome</w:t>
      </w:r>
      <w:r w:rsidR="000E33AA">
        <w:t>s</w:t>
      </w:r>
      <w:r>
        <w:t xml:space="preserve"> Meeting, chaired by the </w:t>
      </w:r>
      <w:r w:rsidR="00074965" w:rsidRPr="00431AE7">
        <w:t>OSE</w:t>
      </w:r>
      <w:r w:rsidRPr="00431AE7">
        <w:t xml:space="preserve"> </w:t>
      </w:r>
      <w:r w:rsidR="00074965" w:rsidRPr="00431AE7">
        <w:t>C</w:t>
      </w:r>
      <w:r w:rsidRPr="00431AE7">
        <w:t>oordinator</w:t>
      </w:r>
      <w:r>
        <w:t xml:space="preserve"> will always be required. Evidence to support the decision to exit the O</w:t>
      </w:r>
      <w:r w:rsidR="000E33AA">
        <w:t xml:space="preserve">rganisational </w:t>
      </w:r>
      <w:r>
        <w:t>S</w:t>
      </w:r>
      <w:r w:rsidR="000E33AA">
        <w:t xml:space="preserve">afeguarding </w:t>
      </w:r>
      <w:r>
        <w:t>E</w:t>
      </w:r>
      <w:r w:rsidR="000E33AA">
        <w:t>nquiry</w:t>
      </w:r>
      <w:r>
        <w:t xml:space="preserve"> is likely to come from partner agency feedback, monitoring visits, views of service users and carers, and records and reports.</w:t>
      </w:r>
      <w:r w:rsidRPr="00D77427">
        <w:t xml:space="preserve"> </w:t>
      </w:r>
    </w:p>
    <w:p w14:paraId="517CED55" w14:textId="77777777" w:rsidR="00AC5703" w:rsidRDefault="00AC5703" w:rsidP="00AC5703">
      <w:pPr>
        <w:ind w:left="-5" w:right="162"/>
      </w:pPr>
    </w:p>
    <w:p w14:paraId="40A9A6A7" w14:textId="43CC2D0D" w:rsidR="00AC5703" w:rsidRDefault="00AC5703" w:rsidP="00AC5703">
      <w:pPr>
        <w:ind w:left="-5" w:right="162"/>
      </w:pPr>
      <w:r>
        <w:t>All parties and organisations involved with the O</w:t>
      </w:r>
      <w:r w:rsidR="000E33AA">
        <w:t xml:space="preserve">rganisational </w:t>
      </w:r>
      <w:r>
        <w:t>S</w:t>
      </w:r>
      <w:r w:rsidR="000E33AA">
        <w:t xml:space="preserve">afeguarding </w:t>
      </w:r>
      <w:r>
        <w:t>E</w:t>
      </w:r>
      <w:r w:rsidR="000E33AA">
        <w:t>nquiry</w:t>
      </w:r>
      <w:r>
        <w:t xml:space="preserve"> will have the opportunity to feedback on their experience of the process to support continued learning and development across the </w:t>
      </w:r>
      <w:r w:rsidR="000E33AA">
        <w:t>m</w:t>
      </w:r>
      <w:r>
        <w:t>ulti-</w:t>
      </w:r>
      <w:r w:rsidR="000E33AA">
        <w:t>a</w:t>
      </w:r>
      <w:r>
        <w:t xml:space="preserve">gency </w:t>
      </w:r>
      <w:r w:rsidR="000E33AA">
        <w:t xml:space="preserve">and system-wide </w:t>
      </w:r>
      <w:r>
        <w:t>partnership</w:t>
      </w:r>
      <w:r w:rsidR="000E33AA">
        <w:t>s</w:t>
      </w:r>
      <w:r>
        <w:t>.</w:t>
      </w:r>
    </w:p>
    <w:p w14:paraId="476B272A" w14:textId="77777777" w:rsidR="00AC5703" w:rsidRPr="0023489D" w:rsidRDefault="00AC5703" w:rsidP="00AC5703">
      <w:pPr>
        <w:ind w:left="-5" w:right="162"/>
        <w:rPr>
          <w:color w:val="auto"/>
        </w:rPr>
      </w:pPr>
    </w:p>
    <w:p w14:paraId="74CA4F92" w14:textId="77777777" w:rsidR="00AC5703" w:rsidRDefault="00AC5703" w:rsidP="00AC5703">
      <w:pPr>
        <w:pStyle w:val="Heading1"/>
        <w:ind w:left="345" w:hanging="360"/>
      </w:pPr>
      <w:r>
        <w:lastRenderedPageBreak/>
        <w:t>A</w:t>
      </w:r>
      <w:bookmarkStart w:id="12" w:name="_Toc21846"/>
      <w:r>
        <w:t xml:space="preserve">dditional Issues </w:t>
      </w:r>
      <w:bookmarkEnd w:id="12"/>
    </w:p>
    <w:p w14:paraId="105B81AA" w14:textId="77777777" w:rsidR="00AC5703" w:rsidRDefault="00AC5703" w:rsidP="00AC5703">
      <w:pPr>
        <w:spacing w:after="48" w:line="259" w:lineRule="auto"/>
        <w:ind w:left="0" w:firstLine="0"/>
      </w:pPr>
      <w:r>
        <w:rPr>
          <w:rFonts w:ascii="Arial" w:eastAsia="Arial" w:hAnsi="Arial" w:cs="Arial"/>
          <w:sz w:val="16"/>
        </w:rPr>
        <w:t xml:space="preserve"> </w:t>
      </w:r>
    </w:p>
    <w:p w14:paraId="218A0058" w14:textId="77777777" w:rsidR="00AC5703" w:rsidRDefault="00AC5703" w:rsidP="00AC5703">
      <w:pPr>
        <w:pStyle w:val="Heading2"/>
        <w:ind w:left="578" w:hanging="593"/>
      </w:pPr>
      <w:bookmarkStart w:id="13" w:name="_Toc21847"/>
      <w:r>
        <w:t xml:space="preserve">Informing wider service users/patients </w:t>
      </w:r>
      <w:bookmarkEnd w:id="13"/>
    </w:p>
    <w:p w14:paraId="463C028A" w14:textId="77777777" w:rsidR="00AC5703" w:rsidRDefault="00AC5703" w:rsidP="00AC5703">
      <w:pPr>
        <w:spacing w:after="0" w:line="259" w:lineRule="auto"/>
        <w:ind w:left="0" w:firstLine="0"/>
      </w:pPr>
      <w:r>
        <w:rPr>
          <w:rFonts w:ascii="Arial" w:eastAsia="Arial" w:hAnsi="Arial" w:cs="Arial"/>
          <w:sz w:val="22"/>
        </w:rPr>
        <w:t xml:space="preserve"> </w:t>
      </w:r>
    </w:p>
    <w:p w14:paraId="073A486B" w14:textId="32D2D88A" w:rsidR="00AC5703" w:rsidRDefault="00AC5703" w:rsidP="00AC5703">
      <w:pPr>
        <w:ind w:left="-5" w:right="162"/>
      </w:pPr>
      <w:r>
        <w:t>There may be circumstances where there is a need to inform wider service users or patients of the nature of the concerns and the actions being taken to respond to these. This will be particularly relevant where there are widespread concerns, and where clear communication will help to reassure wider service users</w:t>
      </w:r>
      <w:r w:rsidR="00EE3748">
        <w:t xml:space="preserve"> or </w:t>
      </w:r>
      <w:r>
        <w:t>patients and their representatives of</w:t>
      </w:r>
      <w:r w:rsidR="00EE3748">
        <w:t xml:space="preserve"> the</w:t>
      </w:r>
      <w:r>
        <w:t xml:space="preserve"> action being taken.  It is suggested that such communications will be undertaken by the service provider, who will be best placed to respond to individual </w:t>
      </w:r>
      <w:r w:rsidRPr="00F074FF">
        <w:rPr>
          <w:color w:val="auto"/>
        </w:rPr>
        <w:t>questions</w:t>
      </w:r>
      <w:r>
        <w:t xml:space="preserve"> or queries from service users or patients. </w:t>
      </w:r>
    </w:p>
    <w:p w14:paraId="61F8F401" w14:textId="77777777" w:rsidR="00AC5703" w:rsidRDefault="00AC5703" w:rsidP="00AC5703">
      <w:pPr>
        <w:spacing w:after="0" w:line="259" w:lineRule="auto"/>
        <w:ind w:left="0" w:firstLine="0"/>
      </w:pPr>
      <w:r>
        <w:rPr>
          <w:rFonts w:ascii="Calibri" w:eastAsia="Calibri" w:hAnsi="Calibri" w:cs="Calibri"/>
          <w:sz w:val="22"/>
        </w:rPr>
        <w:t xml:space="preserve"> </w:t>
      </w:r>
    </w:p>
    <w:p w14:paraId="26B5C0FA" w14:textId="77777777" w:rsidR="00AC5703" w:rsidRDefault="00AC5703" w:rsidP="00AC5703">
      <w:pPr>
        <w:pStyle w:val="Heading2"/>
        <w:ind w:left="719" w:hanging="734"/>
      </w:pPr>
      <w:bookmarkStart w:id="14" w:name="_Toc21848"/>
      <w:r>
        <w:t xml:space="preserve">Wider service user/patient reviews  </w:t>
      </w:r>
      <w:bookmarkEnd w:id="14"/>
    </w:p>
    <w:p w14:paraId="25B8FEE7" w14:textId="77777777" w:rsidR="00AC5703" w:rsidRDefault="00AC5703" w:rsidP="00AC5703">
      <w:pPr>
        <w:spacing w:after="7" w:line="259" w:lineRule="auto"/>
        <w:ind w:left="0" w:firstLine="0"/>
      </w:pPr>
      <w:r>
        <w:rPr>
          <w:rFonts w:ascii="Arial" w:eastAsia="Arial" w:hAnsi="Arial" w:cs="Arial"/>
          <w:sz w:val="20"/>
        </w:rPr>
        <w:t xml:space="preserve"> </w:t>
      </w:r>
    </w:p>
    <w:p w14:paraId="4517B3B7" w14:textId="53F792EB" w:rsidR="00AC5703" w:rsidRDefault="00AC5703" w:rsidP="00AC5703">
      <w:pPr>
        <w:ind w:left="-5" w:right="162"/>
      </w:pPr>
      <w:r>
        <w:t>As part of undertaking an Organisational Safeguarding Enquiry it may become apparent that there are service users</w:t>
      </w:r>
      <w:r w:rsidR="00EE3748">
        <w:t xml:space="preserve"> or </w:t>
      </w:r>
      <w:r>
        <w:t xml:space="preserve">patients, who do not require the support of the multi-agency safeguarding procedures, but who nonetheless would benefit from a review of their needs. </w:t>
      </w:r>
    </w:p>
    <w:p w14:paraId="39565E7B" w14:textId="77777777" w:rsidR="00AC5703" w:rsidRDefault="00AC5703" w:rsidP="00AC5703">
      <w:pPr>
        <w:spacing w:after="0" w:line="259" w:lineRule="auto"/>
        <w:ind w:left="0" w:firstLine="0"/>
      </w:pPr>
      <w:r>
        <w:t xml:space="preserve"> </w:t>
      </w:r>
    </w:p>
    <w:p w14:paraId="417356D8" w14:textId="53F38D6C" w:rsidR="00AC5703" w:rsidRDefault="00AC5703" w:rsidP="00AC5703">
      <w:pPr>
        <w:ind w:left="-5" w:right="162"/>
      </w:pPr>
      <w:r>
        <w:t>The need for such reviews of individual service users</w:t>
      </w:r>
      <w:r w:rsidR="00EE3748">
        <w:t xml:space="preserve"> or </w:t>
      </w:r>
      <w:r>
        <w:t xml:space="preserve">patients' needs and provision may therefore also be required, alongside or </w:t>
      </w:r>
      <w:r w:rsidR="00873A28">
        <w:t>after</w:t>
      </w:r>
      <w:r>
        <w:t xml:space="preserve"> the Organisational Safeguarding Enquiry. It is important that the service user</w:t>
      </w:r>
      <w:r w:rsidR="00EE3748">
        <w:t xml:space="preserve"> or </w:t>
      </w:r>
      <w:r>
        <w:t>patient</w:t>
      </w:r>
      <w:r w:rsidR="00873A28">
        <w:t xml:space="preserve"> and</w:t>
      </w:r>
      <w:r>
        <w:t xml:space="preserve"> their relatives or representatives are appropriately involved in such reviews.  </w:t>
      </w:r>
    </w:p>
    <w:p w14:paraId="00D78539" w14:textId="77777777" w:rsidR="00AC5703" w:rsidRDefault="00AC5703" w:rsidP="00AC5703">
      <w:pPr>
        <w:spacing w:after="0" w:line="259" w:lineRule="auto"/>
        <w:ind w:left="0" w:firstLine="0"/>
      </w:pPr>
      <w:r>
        <w:t xml:space="preserve"> </w:t>
      </w:r>
    </w:p>
    <w:p w14:paraId="671E8CA2" w14:textId="77777777" w:rsidR="00AC5703" w:rsidRDefault="00AC5703" w:rsidP="00AC5703">
      <w:pPr>
        <w:ind w:left="-5" w:right="162"/>
      </w:pPr>
      <w:r>
        <w:t xml:space="preserve">Where placements are commissioned by non-CBMDC Commissioning organisations, the undertaking of reviews will be the responsibility of the relevant commissioning authority.  </w:t>
      </w:r>
    </w:p>
    <w:p w14:paraId="1A061426" w14:textId="77777777" w:rsidR="00AC5703" w:rsidRDefault="00AC5703" w:rsidP="00AC5703">
      <w:pPr>
        <w:ind w:left="-5" w:right="162"/>
      </w:pPr>
    </w:p>
    <w:p w14:paraId="763FA6F4" w14:textId="77777777" w:rsidR="00AC5703" w:rsidRDefault="00AC5703" w:rsidP="00AC5703">
      <w:pPr>
        <w:spacing w:after="0" w:line="259" w:lineRule="auto"/>
        <w:ind w:left="0" w:firstLine="0"/>
      </w:pPr>
      <w:r>
        <w:rPr>
          <w:rFonts w:ascii="Calibri" w:eastAsia="Calibri" w:hAnsi="Calibri" w:cs="Calibri"/>
          <w:sz w:val="22"/>
        </w:rPr>
        <w:t xml:space="preserve"> </w:t>
      </w:r>
    </w:p>
    <w:p w14:paraId="02F4E4D7" w14:textId="77777777" w:rsidR="00AC5703" w:rsidRDefault="00AC5703" w:rsidP="00AC5703">
      <w:pPr>
        <w:pStyle w:val="Heading2"/>
        <w:ind w:left="705" w:hanging="720"/>
      </w:pPr>
      <w:bookmarkStart w:id="15" w:name="_Toc21849"/>
      <w:r>
        <w:t xml:space="preserve">Media Interest </w:t>
      </w:r>
      <w:bookmarkEnd w:id="15"/>
    </w:p>
    <w:p w14:paraId="07FBCBE0" w14:textId="77777777" w:rsidR="00AC5703" w:rsidRDefault="00AC5703" w:rsidP="00AC5703">
      <w:pPr>
        <w:spacing w:after="9" w:line="259" w:lineRule="auto"/>
        <w:ind w:left="0" w:firstLine="0"/>
      </w:pPr>
      <w:r>
        <w:rPr>
          <w:rFonts w:ascii="Arial" w:eastAsia="Arial" w:hAnsi="Arial" w:cs="Arial"/>
          <w:sz w:val="20"/>
        </w:rPr>
        <w:t xml:space="preserve"> </w:t>
      </w:r>
    </w:p>
    <w:p w14:paraId="61C8F398" w14:textId="5BECB70C" w:rsidR="00AC5703" w:rsidRDefault="00AC5703" w:rsidP="00AC5703">
      <w:pPr>
        <w:ind w:left="-5" w:right="162"/>
      </w:pPr>
      <w:r>
        <w:t xml:space="preserve">Safeguarding Team Managers, and their line management, </w:t>
      </w:r>
      <w:r w:rsidRPr="00F074FF">
        <w:rPr>
          <w:color w:val="auto"/>
        </w:rPr>
        <w:t xml:space="preserve">the </w:t>
      </w:r>
      <w:r>
        <w:t xml:space="preserve">Director of Adult Social Care and the relevant communications/media team must be informed of any media interest as soon as possible. Under no circumstances should </w:t>
      </w:r>
      <w:r w:rsidR="00074965" w:rsidRPr="00431AE7">
        <w:t>the OSE</w:t>
      </w:r>
      <w:r w:rsidRPr="00431AE7">
        <w:t xml:space="preserve"> Coordinator</w:t>
      </w:r>
      <w:r>
        <w:t xml:space="preserve"> or those undertaking enquiries give a comment or interview to the press. It may also be necessary to advise multi-agency partners of the media interest. </w:t>
      </w:r>
    </w:p>
    <w:p w14:paraId="7535E6EC" w14:textId="77777777" w:rsidR="00AC5703" w:rsidRDefault="00AC5703" w:rsidP="00AC5703">
      <w:pPr>
        <w:spacing w:after="0" w:line="259" w:lineRule="auto"/>
        <w:ind w:left="0" w:firstLine="0"/>
      </w:pPr>
      <w:r>
        <w:rPr>
          <w:rFonts w:ascii="Calibri" w:eastAsia="Calibri" w:hAnsi="Calibri" w:cs="Calibri"/>
          <w:sz w:val="22"/>
        </w:rPr>
        <w:t xml:space="preserve"> </w:t>
      </w:r>
    </w:p>
    <w:p w14:paraId="2FE8DF0D" w14:textId="77777777" w:rsidR="00AC5703" w:rsidRDefault="00AC5703" w:rsidP="00AC5703">
      <w:pPr>
        <w:pStyle w:val="Heading2"/>
        <w:ind w:left="647" w:hanging="662"/>
      </w:pPr>
      <w:bookmarkStart w:id="16" w:name="_Toc21850"/>
      <w:r>
        <w:t xml:space="preserve">Police Involvement     </w:t>
      </w:r>
      <w:bookmarkEnd w:id="16"/>
    </w:p>
    <w:p w14:paraId="13C1BE2E" w14:textId="77777777" w:rsidR="00AC5703" w:rsidRDefault="00AC5703" w:rsidP="00AC5703">
      <w:pPr>
        <w:spacing w:after="0" w:line="259" w:lineRule="auto"/>
        <w:ind w:left="0" w:firstLine="0"/>
      </w:pPr>
      <w:r>
        <w:rPr>
          <w:b/>
        </w:rPr>
        <w:t xml:space="preserve"> </w:t>
      </w:r>
    </w:p>
    <w:p w14:paraId="0AA9B6FE" w14:textId="77777777" w:rsidR="00AC5703" w:rsidRDefault="00AC5703" w:rsidP="00AC5703">
      <w:pPr>
        <w:ind w:left="-5" w:right="162"/>
      </w:pPr>
      <w:r>
        <w:t xml:space="preserve">There may be circumstances where the findings from individual enquiries and Organisational Safeguarding Enquiries, indicate potential criminal offences. Whilst concerns may relate to offences committed by individuals, they may also be committed by services or organisations, because of how they are managed or organised. For example:  </w:t>
      </w:r>
    </w:p>
    <w:p w14:paraId="2BDDDE4E" w14:textId="77777777" w:rsidR="00AC5703" w:rsidRDefault="00AC5703" w:rsidP="00AC5703">
      <w:pPr>
        <w:spacing w:after="6" w:line="259" w:lineRule="auto"/>
        <w:ind w:left="0" w:firstLine="0"/>
      </w:pPr>
      <w:r>
        <w:t xml:space="preserve"> </w:t>
      </w:r>
    </w:p>
    <w:p w14:paraId="79A61A5E" w14:textId="77777777" w:rsidR="00AC5703" w:rsidRDefault="009D0E4A" w:rsidP="00AC5703">
      <w:pPr>
        <w:numPr>
          <w:ilvl w:val="0"/>
          <w:numId w:val="3"/>
        </w:numPr>
        <w:spacing w:after="3" w:line="259" w:lineRule="auto"/>
        <w:ind w:hanging="360"/>
      </w:pPr>
      <w:hyperlink r:id="rId18">
        <w:r w:rsidR="00AC5703">
          <w:rPr>
            <w:color w:val="4472C4"/>
            <w:u w:val="single" w:color="4472C4"/>
          </w:rPr>
          <w:t>Ill treatment and Wilful neglect: provider offence</w:t>
        </w:r>
      </w:hyperlink>
      <w:hyperlink r:id="rId19">
        <w:r w:rsidR="00AC5703">
          <w:rPr>
            <w:color w:val="4472C4"/>
          </w:rPr>
          <w:t xml:space="preserve"> </w:t>
        </w:r>
      </w:hyperlink>
    </w:p>
    <w:p w14:paraId="744E85A7" w14:textId="77777777" w:rsidR="00AC5703" w:rsidRDefault="009D0E4A" w:rsidP="00AC5703">
      <w:pPr>
        <w:numPr>
          <w:ilvl w:val="0"/>
          <w:numId w:val="3"/>
        </w:numPr>
        <w:spacing w:after="3" w:line="259" w:lineRule="auto"/>
        <w:ind w:hanging="360"/>
      </w:pPr>
      <w:hyperlink r:id="rId20">
        <w:r w:rsidR="00AC5703">
          <w:rPr>
            <w:color w:val="4472C4"/>
            <w:u w:val="single" w:color="4472C4"/>
          </w:rPr>
          <w:t>Corporate Manslaughter and Corporate Homicide Act 2007</w:t>
        </w:r>
      </w:hyperlink>
      <w:hyperlink r:id="rId21">
        <w:r w:rsidR="00AC5703">
          <w:rPr>
            <w:color w:val="4472C4"/>
          </w:rPr>
          <w:t xml:space="preserve"> </w:t>
        </w:r>
      </w:hyperlink>
    </w:p>
    <w:p w14:paraId="036A3B1A" w14:textId="77777777" w:rsidR="00AC5703" w:rsidRDefault="00AC5703" w:rsidP="00AC5703">
      <w:pPr>
        <w:spacing w:after="0" w:line="259" w:lineRule="auto"/>
        <w:ind w:left="0" w:firstLine="0"/>
      </w:pPr>
      <w:r>
        <w:t xml:space="preserve"> </w:t>
      </w:r>
    </w:p>
    <w:p w14:paraId="1D6A096C" w14:textId="77777777" w:rsidR="00AC5703" w:rsidRDefault="00AC5703" w:rsidP="00AC5703">
      <w:pPr>
        <w:ind w:left="-5" w:right="162"/>
      </w:pPr>
      <w:r>
        <w:t xml:space="preserve">Where there are such concerns, the police should be contacted for advice.  </w:t>
      </w:r>
    </w:p>
    <w:p w14:paraId="07F837D3" w14:textId="77777777" w:rsidR="00AC5703" w:rsidRDefault="00AC5703" w:rsidP="00AC5703">
      <w:pPr>
        <w:spacing w:after="0" w:line="259" w:lineRule="auto"/>
        <w:ind w:left="0" w:firstLine="0"/>
      </w:pPr>
      <w:r>
        <w:t xml:space="preserve"> </w:t>
      </w:r>
    </w:p>
    <w:p w14:paraId="588246FC" w14:textId="77777777" w:rsidR="00AC5703" w:rsidRDefault="00AC5703" w:rsidP="00AC5703">
      <w:pPr>
        <w:pStyle w:val="Heading1"/>
        <w:ind w:left="345" w:hanging="360"/>
      </w:pPr>
      <w:r>
        <w:lastRenderedPageBreak/>
        <w:t>Related Information</w:t>
      </w:r>
    </w:p>
    <w:p w14:paraId="18EA0744" w14:textId="77777777" w:rsidR="00AC5703" w:rsidRDefault="00AC5703" w:rsidP="00AC5703">
      <w:pPr>
        <w:spacing w:after="0" w:line="259" w:lineRule="auto"/>
        <w:ind w:left="0" w:firstLine="0"/>
      </w:pPr>
      <w:r>
        <w:rPr>
          <w:rFonts w:ascii="Arial" w:eastAsia="Arial" w:hAnsi="Arial" w:cs="Arial"/>
          <w:sz w:val="24"/>
        </w:rPr>
        <w:t xml:space="preserve"> </w:t>
      </w:r>
    </w:p>
    <w:p w14:paraId="65258DBF" w14:textId="77777777" w:rsidR="00AC5703" w:rsidRDefault="00AC5703" w:rsidP="00AC5703">
      <w:pPr>
        <w:pStyle w:val="Heading2"/>
        <w:ind w:left="705" w:hanging="720"/>
      </w:pPr>
      <w:bookmarkStart w:id="17" w:name="_Toc21852"/>
      <w:r>
        <w:t xml:space="preserve">Identifying organisational abuse </w:t>
      </w:r>
      <w:bookmarkEnd w:id="17"/>
    </w:p>
    <w:p w14:paraId="6CBBD49E" w14:textId="77777777" w:rsidR="00AC5703" w:rsidRDefault="00AC5703" w:rsidP="00AC5703"/>
    <w:p w14:paraId="7CD89161" w14:textId="77777777" w:rsidR="00AC5703" w:rsidRDefault="00AC5703" w:rsidP="00AC5703">
      <w:pPr>
        <w:ind w:left="0" w:right="162" w:firstLine="0"/>
        <w:rPr>
          <w:strike/>
        </w:rPr>
      </w:pPr>
    </w:p>
    <w:p w14:paraId="1B4E2A4E" w14:textId="77777777" w:rsidR="00AC5703" w:rsidRPr="00E3595C" w:rsidRDefault="00AC5703" w:rsidP="00AC5703">
      <w:pPr>
        <w:ind w:left="-5" w:right="162"/>
        <w:rPr>
          <w:strike/>
          <w:color w:val="auto"/>
        </w:rPr>
      </w:pPr>
      <w:r>
        <w:rPr>
          <w:color w:val="auto"/>
        </w:rPr>
        <w:t>W</w:t>
      </w:r>
      <w:r w:rsidRPr="0059251F">
        <w:rPr>
          <w:color w:val="auto"/>
        </w:rPr>
        <w:t xml:space="preserve">here an Organisational Safeguarding Enquiry is being undertaken, many different forms of abuse or neglect may be evidenced within the individual safeguarding enquiries being undertaken.  The overarching Organisational Safeguarding Enquiry will be able to consider these individual enquiries together, to identify underlying factors that </w:t>
      </w:r>
      <w:r>
        <w:rPr>
          <w:color w:val="auto"/>
        </w:rPr>
        <w:t xml:space="preserve">lead to </w:t>
      </w:r>
      <w:r w:rsidRPr="0059251F">
        <w:rPr>
          <w:color w:val="auto"/>
        </w:rPr>
        <w:t>the risk of abuse and neglect</w:t>
      </w:r>
      <w:r>
        <w:rPr>
          <w:color w:val="auto"/>
        </w:rPr>
        <w:t>.</w:t>
      </w:r>
      <w:r w:rsidRPr="0059251F">
        <w:rPr>
          <w:color w:val="auto"/>
        </w:rPr>
        <w:t xml:space="preserve"> </w:t>
      </w:r>
    </w:p>
    <w:p w14:paraId="20B9B3C0" w14:textId="77777777" w:rsidR="00AC5703" w:rsidRDefault="00AC5703" w:rsidP="00AC5703">
      <w:pPr>
        <w:spacing w:after="0" w:line="259" w:lineRule="auto"/>
        <w:ind w:left="0" w:firstLine="0"/>
      </w:pPr>
    </w:p>
    <w:p w14:paraId="0F31962F" w14:textId="6DFB9355" w:rsidR="00AC5703" w:rsidRDefault="00AC5703" w:rsidP="00AC5703">
      <w:pPr>
        <w:ind w:left="-5" w:right="162"/>
      </w:pPr>
      <w:r>
        <w:t xml:space="preserve">The following guidance </w:t>
      </w:r>
      <w:r w:rsidR="00EE3748">
        <w:t>will</w:t>
      </w:r>
      <w:r>
        <w:t xml:space="preserve"> inform professional judgements and decision making as to whether organisational abuse is a presenting concern.</w:t>
      </w:r>
    </w:p>
    <w:p w14:paraId="7C5B3CD9" w14:textId="77777777" w:rsidR="00AC5703" w:rsidRDefault="00AC5703" w:rsidP="00AC5703">
      <w:pPr>
        <w:spacing w:after="0" w:line="259" w:lineRule="auto"/>
        <w:ind w:left="0" w:firstLine="0"/>
      </w:pPr>
      <w:r>
        <w:rPr>
          <w:b/>
        </w:rPr>
        <w:t xml:space="preserve"> </w:t>
      </w:r>
    </w:p>
    <w:p w14:paraId="533A3E60" w14:textId="6DDA0A77" w:rsidR="00AC5703" w:rsidRDefault="00AC5703" w:rsidP="00AC5703">
      <w:pPr>
        <w:ind w:left="-5" w:right="162"/>
      </w:pPr>
      <w:r>
        <w:t xml:space="preserve">As organisational abuse or neglect arises </w:t>
      </w:r>
      <w:r w:rsidR="00873A28">
        <w:t>because of</w:t>
      </w:r>
      <w:r>
        <w:t xml:space="preserve"> the structure, policies, </w:t>
      </w:r>
      <w:r w:rsidR="00EE3748">
        <w:t>processes,</w:t>
      </w:r>
      <w:r>
        <w:t xml:space="preserve"> and practices within an organisation, it may be evidenced by certain characteristics:  </w:t>
      </w:r>
    </w:p>
    <w:p w14:paraId="7C77D84A" w14:textId="77777777" w:rsidR="00AC5703" w:rsidRDefault="00AC5703" w:rsidP="00AC5703">
      <w:pPr>
        <w:spacing w:after="47" w:line="259" w:lineRule="auto"/>
        <w:ind w:left="713" w:firstLine="0"/>
      </w:pPr>
      <w:r>
        <w:t xml:space="preserve"> </w:t>
      </w:r>
    </w:p>
    <w:p w14:paraId="1CB192E9" w14:textId="035AA0D3" w:rsidR="00AC5703" w:rsidRDefault="00AC5703" w:rsidP="00AC5703">
      <w:pPr>
        <w:numPr>
          <w:ilvl w:val="0"/>
          <w:numId w:val="4"/>
        </w:numPr>
        <w:spacing w:after="61"/>
        <w:ind w:right="162" w:hanging="362"/>
      </w:pPr>
      <w:r>
        <w:t xml:space="preserve">It is </w:t>
      </w:r>
      <w:r>
        <w:rPr>
          <w:b/>
        </w:rPr>
        <w:t>widespread</w:t>
      </w:r>
      <w:r>
        <w:t xml:space="preserve"> within the setting (e.g. the abusive/neglectful practice is not confined to the practice of a single staff member)</w:t>
      </w:r>
      <w:r w:rsidR="00EE3748">
        <w:t>.</w:t>
      </w:r>
    </w:p>
    <w:p w14:paraId="635DAA37" w14:textId="0DFE1AC9" w:rsidR="00AC5703" w:rsidRDefault="00AC5703" w:rsidP="00AC5703">
      <w:pPr>
        <w:numPr>
          <w:ilvl w:val="0"/>
          <w:numId w:val="4"/>
        </w:numPr>
        <w:spacing w:after="33"/>
        <w:ind w:right="162" w:hanging="362"/>
      </w:pPr>
      <w:r>
        <w:t xml:space="preserve">It is evidenced by </w:t>
      </w:r>
      <w:r>
        <w:rPr>
          <w:b/>
        </w:rPr>
        <w:t>repeated</w:t>
      </w:r>
      <w:r>
        <w:t xml:space="preserve"> instances of abuse or </w:t>
      </w:r>
      <w:r w:rsidR="00EE3748">
        <w:t>neglect.</w:t>
      </w:r>
      <w:r>
        <w:t xml:space="preserve"> </w:t>
      </w:r>
    </w:p>
    <w:p w14:paraId="1B57FB51" w14:textId="46D86A8F" w:rsidR="00AC5703" w:rsidRDefault="00AC5703" w:rsidP="00AC5703">
      <w:pPr>
        <w:numPr>
          <w:ilvl w:val="0"/>
          <w:numId w:val="4"/>
        </w:numPr>
        <w:spacing w:after="33"/>
        <w:ind w:right="162" w:hanging="362"/>
      </w:pPr>
      <w:r>
        <w:t xml:space="preserve">It is generally </w:t>
      </w:r>
      <w:r>
        <w:rPr>
          <w:b/>
        </w:rPr>
        <w:t>accepted</w:t>
      </w:r>
      <w:r>
        <w:t xml:space="preserve"> that these things happen</w:t>
      </w:r>
      <w:r w:rsidR="00EE3748">
        <w:t>.</w:t>
      </w:r>
      <w:r>
        <w:t xml:space="preserve"> </w:t>
      </w:r>
    </w:p>
    <w:p w14:paraId="19510528" w14:textId="777CDAB8" w:rsidR="00AC5703" w:rsidRDefault="00AC5703" w:rsidP="00AC5703">
      <w:pPr>
        <w:numPr>
          <w:ilvl w:val="0"/>
          <w:numId w:val="4"/>
        </w:numPr>
        <w:spacing w:after="33"/>
        <w:ind w:right="162" w:hanging="362"/>
      </w:pPr>
      <w:r>
        <w:t xml:space="preserve">It is </w:t>
      </w:r>
      <w:r>
        <w:rPr>
          <w:b/>
        </w:rPr>
        <w:t>sanctioned</w:t>
      </w:r>
      <w:r>
        <w:t xml:space="preserve"> – it is encouraged or condoned by line managers or ignored</w:t>
      </w:r>
      <w:r w:rsidR="00EE3748">
        <w:t>.</w:t>
      </w:r>
    </w:p>
    <w:p w14:paraId="543F81E2" w14:textId="77777777" w:rsidR="00AC5703" w:rsidRDefault="00AC5703" w:rsidP="00AC5703">
      <w:pPr>
        <w:numPr>
          <w:ilvl w:val="0"/>
          <w:numId w:val="4"/>
        </w:numPr>
        <w:spacing w:after="60" w:line="249" w:lineRule="auto"/>
        <w:ind w:right="162" w:hanging="362"/>
      </w:pPr>
      <w:r>
        <w:t xml:space="preserve">The </w:t>
      </w:r>
      <w:r>
        <w:rPr>
          <w:b/>
        </w:rPr>
        <w:t>absence of effective</w:t>
      </w:r>
      <w:r>
        <w:t xml:space="preserve"> </w:t>
      </w:r>
      <w:r>
        <w:rPr>
          <w:b/>
        </w:rPr>
        <w:t>monitoring or management oversight</w:t>
      </w:r>
      <w:r>
        <w:t xml:space="preserve"> by managers has allowed the practice to occur. </w:t>
      </w:r>
    </w:p>
    <w:p w14:paraId="23669757" w14:textId="77777777" w:rsidR="00AC5703" w:rsidRDefault="00AC5703" w:rsidP="00AC5703">
      <w:pPr>
        <w:numPr>
          <w:ilvl w:val="0"/>
          <w:numId w:val="4"/>
        </w:numPr>
        <w:spacing w:after="60"/>
        <w:ind w:right="162" w:hanging="362"/>
      </w:pPr>
      <w:r>
        <w:t xml:space="preserve">There are </w:t>
      </w:r>
      <w:r>
        <w:rPr>
          <w:b/>
        </w:rPr>
        <w:t>environmental factors</w:t>
      </w:r>
      <w:r>
        <w:t xml:space="preserve"> (e.g. unsuitable buildings, lack of equipment, many temporary staff) that adversely affect the quality of care. </w:t>
      </w:r>
    </w:p>
    <w:p w14:paraId="31C8AF16" w14:textId="4AA37401" w:rsidR="00AC5703" w:rsidRDefault="00AC5703" w:rsidP="00AC5703">
      <w:pPr>
        <w:numPr>
          <w:ilvl w:val="0"/>
          <w:numId w:val="4"/>
        </w:numPr>
        <w:spacing w:after="31"/>
        <w:ind w:right="162" w:hanging="362"/>
      </w:pPr>
      <w:r>
        <w:t xml:space="preserve">It is </w:t>
      </w:r>
      <w:r>
        <w:rPr>
          <w:b/>
        </w:rPr>
        <w:t>systemic</w:t>
      </w:r>
      <w:r>
        <w:t xml:space="preserve"> e.g. factors such as a lack of training, poor operational procedures, poor supervision and management </w:t>
      </w:r>
      <w:r w:rsidR="00EE3748">
        <w:t xml:space="preserve">can </w:t>
      </w:r>
      <w:r>
        <w:t xml:space="preserve">all significantly contribute to the development of organisationally abusive practice. </w:t>
      </w:r>
    </w:p>
    <w:p w14:paraId="7AF1A798" w14:textId="77777777" w:rsidR="00AC5703" w:rsidRDefault="00AC5703" w:rsidP="00AC5703">
      <w:pPr>
        <w:spacing w:after="0" w:line="259" w:lineRule="auto"/>
        <w:ind w:left="0" w:firstLine="0"/>
      </w:pPr>
      <w:r>
        <w:t xml:space="preserve"> </w:t>
      </w:r>
    </w:p>
    <w:p w14:paraId="23B772CC" w14:textId="2CC7057A" w:rsidR="00AC5703" w:rsidRDefault="00AC5703" w:rsidP="00AC5703">
      <w:pPr>
        <w:ind w:left="-5" w:right="162"/>
      </w:pPr>
      <w:r>
        <w:t xml:space="preserve">It is not necessary for each of these characteristics to be present. However, the presence of one or more characteristic increases the likelihood that organisational abuse is taking place. Organisational abuse may also be indicated by </w:t>
      </w:r>
      <w:r w:rsidR="00873A28">
        <w:t>a few</w:t>
      </w:r>
      <w:r>
        <w:t xml:space="preserve"> adversely affected service users. However, it could </w:t>
      </w:r>
      <w:r w:rsidR="00873A28">
        <w:t xml:space="preserve">also </w:t>
      </w:r>
      <w:r>
        <w:t xml:space="preserve">occur in relation to a single service user. </w:t>
      </w:r>
    </w:p>
    <w:p w14:paraId="4FBBCA42" w14:textId="77777777" w:rsidR="00AC5703" w:rsidRDefault="00AC5703" w:rsidP="00AC5703">
      <w:pPr>
        <w:spacing w:after="0" w:line="259" w:lineRule="auto"/>
        <w:ind w:left="0" w:firstLine="0"/>
      </w:pPr>
      <w:r>
        <w:t xml:space="preserve"> </w:t>
      </w:r>
    </w:p>
    <w:p w14:paraId="724B311F" w14:textId="07935C7E" w:rsidR="00AC5703" w:rsidRDefault="00AC5703" w:rsidP="00AC5703">
      <w:pPr>
        <w:ind w:left="-5" w:right="162"/>
      </w:pPr>
      <w:r>
        <w:t xml:space="preserve">The assessment of possible organisational abuse will need to be based upon professional judgement with consideration </w:t>
      </w:r>
      <w:r w:rsidR="00873A28">
        <w:t>given to</w:t>
      </w:r>
      <w:r>
        <w:t xml:space="preserve"> </w:t>
      </w:r>
      <w:r w:rsidR="0006315B">
        <w:t>all</w:t>
      </w:r>
      <w:r w:rsidR="00873A28">
        <w:t xml:space="preserve"> </w:t>
      </w:r>
      <w:r>
        <w:t>the individual circumstances</w:t>
      </w:r>
      <w:r w:rsidR="00873A28">
        <w:t xml:space="preserve"> and evidence</w:t>
      </w:r>
      <w:r>
        <w:t xml:space="preserve">. This should include consideration of the actual or potential impact on the wellbeing of individuals concerned, as well as the underlying causes of any abuse and neglect.   </w:t>
      </w:r>
    </w:p>
    <w:p w14:paraId="49A868B9" w14:textId="77777777" w:rsidR="00AC5703" w:rsidRDefault="00AC5703" w:rsidP="00AC5703">
      <w:pPr>
        <w:spacing w:after="0" w:line="259" w:lineRule="auto"/>
        <w:ind w:left="0" w:firstLine="0"/>
      </w:pPr>
      <w:r>
        <w:t xml:space="preserve"> </w:t>
      </w:r>
    </w:p>
    <w:p w14:paraId="5CC661CA" w14:textId="77777777" w:rsidR="00AC5703" w:rsidRDefault="00AC5703" w:rsidP="00AC5703">
      <w:pPr>
        <w:pStyle w:val="Heading2"/>
        <w:ind w:left="705" w:hanging="720"/>
      </w:pPr>
      <w:bookmarkStart w:id="18" w:name="_Toc21853"/>
      <w:r>
        <w:t xml:space="preserve">Out of area placements </w:t>
      </w:r>
      <w:bookmarkEnd w:id="18"/>
    </w:p>
    <w:p w14:paraId="41A26164" w14:textId="77777777" w:rsidR="00AC5703" w:rsidRDefault="00AC5703" w:rsidP="00AC5703">
      <w:pPr>
        <w:spacing w:after="0" w:line="259" w:lineRule="auto"/>
        <w:ind w:left="0" w:firstLine="0"/>
      </w:pPr>
      <w:r>
        <w:rPr>
          <w:rFonts w:ascii="Arial" w:eastAsia="Arial" w:hAnsi="Arial" w:cs="Arial"/>
          <w:sz w:val="23"/>
        </w:rPr>
        <w:t xml:space="preserve"> </w:t>
      </w:r>
    </w:p>
    <w:p w14:paraId="0D7F1F75" w14:textId="77777777" w:rsidR="00AC5703" w:rsidRDefault="00AC5703" w:rsidP="00AC5703">
      <w:pPr>
        <w:ind w:left="-5" w:right="162"/>
      </w:pPr>
      <w:r>
        <w:t xml:space="preserve">Sometimes local authorities will need to work together to respond to safeguarding concerns. This is most common when abuse or neglect occurs in one local authority area, but the person receives services funded or commissioned by another.    </w:t>
      </w:r>
    </w:p>
    <w:p w14:paraId="60E69515" w14:textId="77777777" w:rsidR="00AC5703" w:rsidRDefault="00AC5703" w:rsidP="00AC5703">
      <w:pPr>
        <w:spacing w:after="0" w:line="259" w:lineRule="auto"/>
        <w:ind w:left="0" w:firstLine="0"/>
      </w:pPr>
      <w:r>
        <w:t xml:space="preserve"> </w:t>
      </w:r>
    </w:p>
    <w:p w14:paraId="08F22EB5" w14:textId="77777777" w:rsidR="00AC5703" w:rsidRDefault="00AC5703" w:rsidP="00AC5703">
      <w:pPr>
        <w:ind w:left="-5" w:right="162"/>
      </w:pPr>
      <w:r>
        <w:lastRenderedPageBreak/>
        <w:t xml:space="preserve">The </w:t>
      </w:r>
      <w:hyperlink r:id="rId22">
        <w:r>
          <w:rPr>
            <w:color w:val="44546A"/>
            <w:u w:val="single" w:color="44546A"/>
          </w:rPr>
          <w:t>‘ADASS</w:t>
        </w:r>
      </w:hyperlink>
      <w:hyperlink r:id="rId23">
        <w:r>
          <w:rPr>
            <w:color w:val="44546A"/>
            <w:u w:val="single" w:color="44546A"/>
          </w:rPr>
          <w:t xml:space="preserve"> (2016)</w:t>
        </w:r>
      </w:hyperlink>
      <w:hyperlink r:id="rId24">
        <w:r>
          <w:rPr>
            <w:color w:val="44546A"/>
            <w:u w:val="single" w:color="44546A"/>
          </w:rPr>
          <w:t>: Out of area safeguarding arrangements</w:t>
        </w:r>
      </w:hyperlink>
      <w:hyperlink r:id="rId25">
        <w:r>
          <w:rPr>
            <w:color w:val="0000FF"/>
            <w:u w:val="single" w:color="44546A"/>
          </w:rPr>
          <w:t>’</w:t>
        </w:r>
      </w:hyperlink>
      <w:hyperlink r:id="rId26">
        <w:r>
          <w:rPr>
            <w:color w:val="44546A"/>
          </w:rPr>
          <w:t xml:space="preserve"> </w:t>
        </w:r>
      </w:hyperlink>
      <w:r>
        <w:t xml:space="preserve">highlights the need for authorities to work together and outlines respective responsibilities.  </w:t>
      </w:r>
    </w:p>
    <w:p w14:paraId="4DF694B1" w14:textId="77777777" w:rsidR="00AC5703" w:rsidRDefault="00AC5703" w:rsidP="00AC5703">
      <w:pPr>
        <w:spacing w:after="0" w:line="259" w:lineRule="auto"/>
        <w:ind w:left="0" w:firstLine="0"/>
      </w:pPr>
      <w:r>
        <w:t xml:space="preserve"> </w:t>
      </w:r>
    </w:p>
    <w:p w14:paraId="07B33A53" w14:textId="77777777" w:rsidR="00AC5703" w:rsidRDefault="00AC5703" w:rsidP="00AC5703">
      <w:pPr>
        <w:ind w:left="-5" w:right="162"/>
      </w:pPr>
      <w:r>
        <w:t xml:space="preserve">Key general principles are summarised below:  </w:t>
      </w:r>
    </w:p>
    <w:p w14:paraId="01D12479" w14:textId="77777777" w:rsidR="00AC5703" w:rsidRDefault="00AC5703" w:rsidP="00AC5703">
      <w:pPr>
        <w:spacing w:after="0" w:line="259" w:lineRule="auto"/>
        <w:ind w:left="0" w:firstLine="0"/>
      </w:pPr>
      <w:r>
        <w:t xml:space="preserve"> </w:t>
      </w:r>
      <w:r>
        <w:tab/>
        <w:t xml:space="preserve"> </w:t>
      </w:r>
    </w:p>
    <w:p w14:paraId="4F70F0C6" w14:textId="77777777" w:rsidR="00AC5703" w:rsidRDefault="00AC5703" w:rsidP="00AC5703">
      <w:pPr>
        <w:ind w:left="-5" w:right="162"/>
      </w:pPr>
      <w:r>
        <w:t xml:space="preserve">The safeguarding adults procedures of the host authority (i.e. the local authority in the area where the abuse occurred) will be followed.  </w:t>
      </w:r>
    </w:p>
    <w:p w14:paraId="3AD1CC53" w14:textId="77777777" w:rsidR="00AC5703" w:rsidRDefault="00AC5703" w:rsidP="00AC5703">
      <w:pPr>
        <w:spacing w:after="0" w:line="259" w:lineRule="auto"/>
        <w:ind w:left="0" w:firstLine="0"/>
      </w:pPr>
      <w:r>
        <w:t xml:space="preserve"> </w:t>
      </w:r>
    </w:p>
    <w:p w14:paraId="1D986851" w14:textId="77777777" w:rsidR="00AC5703" w:rsidRDefault="00AC5703" w:rsidP="00AC5703">
      <w:pPr>
        <w:ind w:left="-5" w:right="162"/>
      </w:pPr>
      <w:r>
        <w:t xml:space="preserve">This means that, the host authority: </w:t>
      </w:r>
    </w:p>
    <w:p w14:paraId="7AE6AEEF" w14:textId="77777777" w:rsidR="00AC5703" w:rsidRDefault="00AC5703" w:rsidP="00AC5703">
      <w:pPr>
        <w:spacing w:after="7" w:line="259" w:lineRule="auto"/>
        <w:ind w:left="0" w:firstLine="0"/>
      </w:pPr>
      <w:r>
        <w:t xml:space="preserve"> </w:t>
      </w:r>
    </w:p>
    <w:p w14:paraId="7ED1F9E9" w14:textId="5E68C70C" w:rsidR="00AC5703" w:rsidRDefault="00AC5703" w:rsidP="00AC5703">
      <w:pPr>
        <w:numPr>
          <w:ilvl w:val="0"/>
          <w:numId w:val="5"/>
        </w:numPr>
        <w:ind w:right="162" w:hanging="360"/>
      </w:pPr>
      <w:r>
        <w:t xml:space="preserve">will fulfil the role of the </w:t>
      </w:r>
      <w:r w:rsidR="00074965" w:rsidRPr="00431AE7">
        <w:t>OSE</w:t>
      </w:r>
      <w:r w:rsidRPr="00431AE7">
        <w:t xml:space="preserve"> Coordinator</w:t>
      </w:r>
      <w:r>
        <w:t xml:space="preserve">  </w:t>
      </w:r>
    </w:p>
    <w:p w14:paraId="586D5FD8" w14:textId="77777777" w:rsidR="00AC5703" w:rsidRDefault="00AC5703" w:rsidP="00AC5703">
      <w:pPr>
        <w:numPr>
          <w:ilvl w:val="0"/>
          <w:numId w:val="5"/>
        </w:numPr>
        <w:ind w:right="162" w:hanging="360"/>
      </w:pPr>
      <w:r>
        <w:t xml:space="preserve">will maintain effective communication with the placing authority </w:t>
      </w:r>
    </w:p>
    <w:p w14:paraId="7702D993" w14:textId="77777777" w:rsidR="00AC5703" w:rsidRDefault="00AC5703" w:rsidP="00AC5703">
      <w:pPr>
        <w:numPr>
          <w:ilvl w:val="0"/>
          <w:numId w:val="5"/>
        </w:numPr>
        <w:ind w:right="162" w:hanging="360"/>
      </w:pPr>
      <w:r>
        <w:t>may need to undertake</w:t>
      </w:r>
      <w:r>
        <w:rPr>
          <w:color w:val="4472C4" w:themeColor="accent1"/>
        </w:rPr>
        <w:t xml:space="preserve"> </w:t>
      </w:r>
      <w:r>
        <w:rPr>
          <w:color w:val="auto"/>
        </w:rPr>
        <w:t>a</w:t>
      </w:r>
      <w:r w:rsidRPr="00F074FF">
        <w:rPr>
          <w:color w:val="auto"/>
        </w:rPr>
        <w:t>ction to ensure immediate safety</w:t>
      </w:r>
      <w:r>
        <w:rPr>
          <w:color w:val="auto"/>
        </w:rPr>
        <w:t>,</w:t>
      </w:r>
      <w:r>
        <w:t xml:space="preserve"> but wherever possible this should be in consultation with the placing authority </w:t>
      </w:r>
    </w:p>
    <w:p w14:paraId="4361E320" w14:textId="77777777" w:rsidR="00AC5703" w:rsidRDefault="00AC5703" w:rsidP="00AC5703">
      <w:pPr>
        <w:spacing w:after="0" w:line="259" w:lineRule="auto"/>
        <w:ind w:left="0" w:firstLine="0"/>
      </w:pPr>
      <w:r>
        <w:t xml:space="preserve"> </w:t>
      </w:r>
    </w:p>
    <w:p w14:paraId="1D530CE2" w14:textId="77777777" w:rsidR="00AC5703" w:rsidRDefault="00AC5703" w:rsidP="00AC5703">
      <w:pPr>
        <w:ind w:left="-5" w:right="162"/>
      </w:pPr>
      <w:r>
        <w:t xml:space="preserve">Placing authorities (the local authority or NHS body responsible for commissioning care and support services for that person):    </w:t>
      </w:r>
    </w:p>
    <w:p w14:paraId="1621EDCE" w14:textId="77777777" w:rsidR="00AC5703" w:rsidRDefault="00AC5703" w:rsidP="00AC5703">
      <w:pPr>
        <w:spacing w:after="6" w:line="259" w:lineRule="auto"/>
        <w:ind w:left="0" w:firstLine="0"/>
      </w:pPr>
      <w:r>
        <w:t xml:space="preserve"> </w:t>
      </w:r>
    </w:p>
    <w:p w14:paraId="2EACB80D" w14:textId="77777777" w:rsidR="00AC5703" w:rsidRDefault="00AC5703" w:rsidP="00AC5703">
      <w:pPr>
        <w:numPr>
          <w:ilvl w:val="0"/>
          <w:numId w:val="5"/>
        </w:numPr>
        <w:ind w:right="162" w:hanging="360"/>
      </w:pPr>
      <w:r>
        <w:t xml:space="preserve">will contribute to the safeguarding response as required </w:t>
      </w:r>
    </w:p>
    <w:p w14:paraId="331D97C0" w14:textId="77777777" w:rsidR="00AC5703" w:rsidRDefault="00AC5703" w:rsidP="00AC5703">
      <w:pPr>
        <w:numPr>
          <w:ilvl w:val="0"/>
          <w:numId w:val="5"/>
        </w:numPr>
        <w:ind w:right="162" w:hanging="360"/>
      </w:pPr>
      <w:r>
        <w:t xml:space="preserve">have overall responsibility for assessing and providing for the care and support needs of the person at risk  </w:t>
      </w:r>
    </w:p>
    <w:p w14:paraId="1153701A" w14:textId="77777777" w:rsidR="00AC5703" w:rsidRDefault="00AC5703" w:rsidP="00AC5703">
      <w:pPr>
        <w:numPr>
          <w:ilvl w:val="0"/>
          <w:numId w:val="5"/>
        </w:numPr>
        <w:ind w:right="162" w:hanging="360"/>
      </w:pPr>
      <w:r>
        <w:t xml:space="preserve">will ensure, through contracting arrangements and in-service specifications, that the provider has arrangements in place for protecting adults at risk </w:t>
      </w:r>
      <w:r w:rsidRPr="00F074FF">
        <w:rPr>
          <w:color w:val="auto"/>
        </w:rPr>
        <w:t xml:space="preserve">from </w:t>
      </w:r>
      <w:r>
        <w:t xml:space="preserve">harm. </w:t>
      </w:r>
    </w:p>
    <w:p w14:paraId="490056A2" w14:textId="77777777" w:rsidR="00AC5703" w:rsidRDefault="00AC5703" w:rsidP="00AC5703">
      <w:pPr>
        <w:spacing w:after="0" w:line="259" w:lineRule="auto"/>
        <w:ind w:left="0" w:firstLine="0"/>
      </w:pPr>
      <w:r>
        <w:t xml:space="preserve"> </w:t>
      </w:r>
    </w:p>
    <w:p w14:paraId="2D085FBE" w14:textId="77777777" w:rsidR="00AC5703" w:rsidRDefault="00AC5703" w:rsidP="00AC5703">
      <w:pPr>
        <w:ind w:left="-5" w:right="162"/>
      </w:pPr>
      <w:r>
        <w:t xml:space="preserve">If the person is a self-funder and there is no placing authority involved in commissioning care and support services, the host authority has the duty to act under the </w:t>
      </w:r>
      <w:r w:rsidRPr="00F074FF">
        <w:rPr>
          <w:color w:val="auto"/>
        </w:rPr>
        <w:t xml:space="preserve">Joint </w:t>
      </w:r>
      <w:r>
        <w:t xml:space="preserve">multi-agency policy and procedures regardless of the area from which the person originated. </w:t>
      </w:r>
    </w:p>
    <w:p w14:paraId="354DBC2A" w14:textId="77777777" w:rsidR="00AC5703" w:rsidRDefault="00AC5703" w:rsidP="00AC5703">
      <w:pPr>
        <w:spacing w:after="0" w:line="259" w:lineRule="auto"/>
        <w:ind w:left="0" w:firstLine="0"/>
      </w:pPr>
      <w:r>
        <w:t xml:space="preserve"> </w:t>
      </w:r>
    </w:p>
    <w:p w14:paraId="02385D52" w14:textId="77777777" w:rsidR="00AC5703" w:rsidRDefault="00AC5703" w:rsidP="00AC5703">
      <w:pPr>
        <w:ind w:left="-5" w:right="162"/>
      </w:pPr>
      <w:r>
        <w:t xml:space="preserve">If a person experiences abuse whilst in another local authority area from where they live, for a very short period, for example whilst on holiday, the statutory duty lies with the host authority. However, there may need to be agreement between the host and placing agency </w:t>
      </w:r>
      <w:r w:rsidRPr="00F074FF">
        <w:rPr>
          <w:color w:val="auto"/>
        </w:rPr>
        <w:t xml:space="preserve">as to </w:t>
      </w:r>
      <w:r>
        <w:t xml:space="preserve">who is the most appropriate to undertake enquiries in relation to the concerns.  </w:t>
      </w:r>
    </w:p>
    <w:p w14:paraId="4760BFE5" w14:textId="77777777" w:rsidR="00AC5703" w:rsidRDefault="00AC5703" w:rsidP="00AC5703">
      <w:pPr>
        <w:spacing w:after="0" w:line="259" w:lineRule="auto"/>
        <w:ind w:left="0" w:firstLine="0"/>
      </w:pPr>
      <w:r>
        <w:t xml:space="preserve"> </w:t>
      </w:r>
    </w:p>
    <w:p w14:paraId="65AE9B5E" w14:textId="77777777" w:rsidR="00AC5703" w:rsidRPr="00F074FF" w:rsidRDefault="00AC5703" w:rsidP="00AC5703">
      <w:pPr>
        <w:ind w:left="-5" w:right="162"/>
      </w:pPr>
      <w:r>
        <w:t xml:space="preserve">The full </w:t>
      </w:r>
      <w:hyperlink r:id="rId27">
        <w:r>
          <w:rPr>
            <w:color w:val="44546A"/>
            <w:u w:val="single" w:color="44546A"/>
          </w:rPr>
          <w:t>ADASS Guidance</w:t>
        </w:r>
      </w:hyperlink>
      <w:hyperlink r:id="rId28">
        <w:r>
          <w:rPr>
            <w:color w:val="44546A"/>
          </w:rPr>
          <w:t xml:space="preserve"> </w:t>
        </w:r>
      </w:hyperlink>
      <w:r>
        <w:t xml:space="preserve">includes more information about the arrangements required in such situations. </w:t>
      </w:r>
    </w:p>
    <w:p w14:paraId="768B5A8F" w14:textId="77777777" w:rsidR="00AC5703" w:rsidRDefault="00AC5703" w:rsidP="00AC5703">
      <w:pPr>
        <w:spacing w:after="0" w:line="259" w:lineRule="auto"/>
        <w:ind w:left="0" w:firstLine="0"/>
      </w:pPr>
      <w:r>
        <w:rPr>
          <w:rFonts w:ascii="Arial" w:eastAsia="Arial" w:hAnsi="Arial" w:cs="Arial"/>
          <w:sz w:val="23"/>
        </w:rPr>
        <w:t xml:space="preserve"> </w:t>
      </w:r>
    </w:p>
    <w:p w14:paraId="5B1E11FD" w14:textId="77777777" w:rsidR="00AC5703" w:rsidRDefault="00AC5703" w:rsidP="00AC5703">
      <w:pPr>
        <w:pStyle w:val="Heading2"/>
        <w:ind w:left="705" w:hanging="720"/>
      </w:pPr>
      <w:bookmarkStart w:id="19" w:name="_Toc21854"/>
      <w:r>
        <w:t xml:space="preserve">The Care Quality Commission (CQC) </w:t>
      </w:r>
      <w:bookmarkEnd w:id="19"/>
    </w:p>
    <w:p w14:paraId="2BA5026F" w14:textId="77777777" w:rsidR="00AC5703" w:rsidRDefault="00AC5703" w:rsidP="00AC5703">
      <w:pPr>
        <w:spacing w:after="0" w:line="259" w:lineRule="auto"/>
        <w:ind w:left="0" w:firstLine="0"/>
      </w:pPr>
      <w:r>
        <w:rPr>
          <w:rFonts w:ascii="Calibri" w:eastAsia="Calibri" w:hAnsi="Calibri" w:cs="Calibri"/>
          <w:sz w:val="22"/>
        </w:rPr>
        <w:t xml:space="preserve"> </w:t>
      </w:r>
    </w:p>
    <w:p w14:paraId="745B28E6" w14:textId="5786A745" w:rsidR="00AC5703" w:rsidRDefault="00AC5703" w:rsidP="00AC5703">
      <w:pPr>
        <w:ind w:left="-5" w:right="162"/>
      </w:pPr>
      <w:r>
        <w:t xml:space="preserve">The Care Quality Commission is the independent regulator of all health and adult social care services in England, including those provided by the NHS, local authorities, private </w:t>
      </w:r>
      <w:r w:rsidR="00873A28">
        <w:t>companies,</w:t>
      </w:r>
      <w:r>
        <w:t xml:space="preserve"> and voluntary organisations.  </w:t>
      </w:r>
    </w:p>
    <w:p w14:paraId="683CF1D1" w14:textId="77777777" w:rsidR="00AC5703" w:rsidRDefault="00AC5703" w:rsidP="00AC5703">
      <w:pPr>
        <w:spacing w:after="0" w:line="259" w:lineRule="auto"/>
        <w:ind w:left="0" w:firstLine="0"/>
      </w:pPr>
      <w:r>
        <w:t xml:space="preserve"> </w:t>
      </w:r>
    </w:p>
    <w:p w14:paraId="0515DF48" w14:textId="77777777" w:rsidR="00AC5703" w:rsidRDefault="00AC5703" w:rsidP="00AC5703">
      <w:pPr>
        <w:ind w:left="-5" w:right="162"/>
      </w:pPr>
      <w:r>
        <w:t xml:space="preserve">The Commission makes sure health and social care services provide people with safe, effective, compassionate, high-quality care and it encourages care services to improve.  </w:t>
      </w:r>
    </w:p>
    <w:p w14:paraId="33238667" w14:textId="77777777" w:rsidR="00AC5703" w:rsidRDefault="00AC5703" w:rsidP="00AC5703">
      <w:pPr>
        <w:spacing w:after="0" w:line="259" w:lineRule="auto"/>
        <w:ind w:left="0" w:firstLine="0"/>
      </w:pPr>
      <w:r>
        <w:t xml:space="preserve"> </w:t>
      </w:r>
    </w:p>
    <w:p w14:paraId="74E7EE90" w14:textId="77777777" w:rsidR="00AC5703" w:rsidRDefault="00AC5703" w:rsidP="00AC5703">
      <w:pPr>
        <w:pStyle w:val="Heading4"/>
        <w:ind w:left="-5"/>
      </w:pPr>
      <w:r>
        <w:t>The role of the CQC</w:t>
      </w:r>
      <w:r>
        <w:rPr>
          <w:b w:val="0"/>
        </w:rPr>
        <w:t xml:space="preserve">  </w:t>
      </w:r>
    </w:p>
    <w:p w14:paraId="00B7FFA8" w14:textId="77777777" w:rsidR="00AC5703" w:rsidRDefault="00AC5703" w:rsidP="00AC5703">
      <w:pPr>
        <w:spacing w:after="0" w:line="259" w:lineRule="auto"/>
        <w:ind w:left="0" w:firstLine="0"/>
      </w:pPr>
      <w:r>
        <w:t xml:space="preserve"> </w:t>
      </w:r>
    </w:p>
    <w:p w14:paraId="2DD76E87" w14:textId="77777777" w:rsidR="00AC5703" w:rsidRDefault="00AC5703" w:rsidP="00AC5703">
      <w:pPr>
        <w:ind w:left="-5" w:right="162"/>
      </w:pPr>
      <w:r>
        <w:lastRenderedPageBreak/>
        <w:t xml:space="preserve">Includes: </w:t>
      </w:r>
    </w:p>
    <w:p w14:paraId="3CB8081D" w14:textId="77777777" w:rsidR="00AC5703" w:rsidRDefault="00AC5703" w:rsidP="00AC5703">
      <w:pPr>
        <w:spacing w:after="6" w:line="259" w:lineRule="auto"/>
        <w:ind w:left="0" w:firstLine="0"/>
      </w:pPr>
      <w:r>
        <w:t xml:space="preserve"> </w:t>
      </w:r>
    </w:p>
    <w:p w14:paraId="7B1C020F" w14:textId="77777777" w:rsidR="00AC5703" w:rsidRDefault="009D0E4A" w:rsidP="00AC5703">
      <w:pPr>
        <w:numPr>
          <w:ilvl w:val="0"/>
          <w:numId w:val="6"/>
        </w:numPr>
        <w:spacing w:after="4" w:line="249" w:lineRule="auto"/>
        <w:ind w:hanging="360"/>
      </w:pPr>
      <w:hyperlink r:id="rId29">
        <w:r w:rsidR="00AC5703">
          <w:rPr>
            <w:b/>
            <w:color w:val="44546A"/>
          </w:rPr>
          <w:t>Registering</w:t>
        </w:r>
      </w:hyperlink>
      <w:hyperlink r:id="rId30">
        <w:r w:rsidR="00AC5703">
          <w:rPr>
            <w:b/>
            <w:color w:val="44546A"/>
          </w:rPr>
          <w:t xml:space="preserve"> </w:t>
        </w:r>
      </w:hyperlink>
      <w:hyperlink r:id="rId31">
        <w:r w:rsidR="00AC5703">
          <w:rPr>
            <w:b/>
            <w:color w:val="44546A"/>
          </w:rPr>
          <w:t>and monitoring</w:t>
        </w:r>
      </w:hyperlink>
      <w:hyperlink r:id="rId32">
        <w:r w:rsidR="00AC5703">
          <w:rPr>
            <w:b/>
            <w:color w:val="44546A"/>
          </w:rPr>
          <w:t xml:space="preserve"> </w:t>
        </w:r>
      </w:hyperlink>
      <w:hyperlink r:id="rId33">
        <w:r w:rsidR="00AC5703">
          <w:rPr>
            <w:color w:val="3E3E35"/>
          </w:rPr>
          <w:t>o</w:t>
        </w:r>
      </w:hyperlink>
      <w:r w:rsidR="00AC5703">
        <w:rPr>
          <w:color w:val="3E3E35"/>
        </w:rPr>
        <w:t xml:space="preserve">f care providers. (Link to CQC website </w:t>
      </w:r>
      <w:hyperlink r:id="rId34">
        <w:r w:rsidR="00AC5703">
          <w:rPr>
            <w:color w:val="4472C4"/>
            <w:u w:val="single" w:color="4472C4"/>
          </w:rPr>
          <w:t>here</w:t>
        </w:r>
      </w:hyperlink>
      <w:hyperlink r:id="rId35">
        <w:r w:rsidR="00AC5703">
          <w:rPr>
            <w:color w:val="3E3E35"/>
          </w:rPr>
          <w:t>)</w:t>
        </w:r>
      </w:hyperlink>
      <w:r w:rsidR="00AC5703">
        <w:rPr>
          <w:color w:val="3E3E35"/>
        </w:rPr>
        <w:t xml:space="preserve"> </w:t>
      </w:r>
    </w:p>
    <w:p w14:paraId="7C87E08C" w14:textId="77777777" w:rsidR="00AC5703" w:rsidRDefault="00AC5703" w:rsidP="00AC5703">
      <w:pPr>
        <w:spacing w:after="107" w:line="259" w:lineRule="auto"/>
        <w:ind w:left="0" w:firstLine="0"/>
      </w:pPr>
      <w:r>
        <w:rPr>
          <w:color w:val="3E3E35"/>
          <w:sz w:val="12"/>
        </w:rPr>
        <w:t xml:space="preserve"> </w:t>
      </w:r>
    </w:p>
    <w:p w14:paraId="03BE58AB" w14:textId="77777777" w:rsidR="00AC5703" w:rsidRDefault="009D0E4A" w:rsidP="00AC5703">
      <w:pPr>
        <w:numPr>
          <w:ilvl w:val="0"/>
          <w:numId w:val="6"/>
        </w:numPr>
        <w:spacing w:after="4" w:line="249" w:lineRule="auto"/>
        <w:ind w:hanging="360"/>
      </w:pPr>
      <w:hyperlink r:id="rId36">
        <w:r w:rsidR="00AC5703">
          <w:rPr>
            <w:b/>
            <w:color w:val="44546A"/>
          </w:rPr>
          <w:t>Inspecting</w:t>
        </w:r>
      </w:hyperlink>
      <w:hyperlink r:id="rId37">
        <w:r w:rsidR="00AC5703">
          <w:rPr>
            <w:b/>
            <w:color w:val="44546A"/>
          </w:rPr>
          <w:t xml:space="preserve"> </w:t>
        </w:r>
      </w:hyperlink>
      <w:hyperlink r:id="rId38">
        <w:r w:rsidR="00AC5703">
          <w:rPr>
            <w:b/>
            <w:color w:val="44546A"/>
          </w:rPr>
          <w:t>and rating</w:t>
        </w:r>
      </w:hyperlink>
      <w:hyperlink r:id="rId39">
        <w:r w:rsidR="00AC5703">
          <w:rPr>
            <w:color w:val="3E3E35"/>
          </w:rPr>
          <w:t xml:space="preserve"> </w:t>
        </w:r>
      </w:hyperlink>
      <w:r w:rsidR="00AC5703">
        <w:rPr>
          <w:color w:val="3E3E35"/>
        </w:rPr>
        <w:t xml:space="preserve">services (Link to CQC website </w:t>
      </w:r>
      <w:hyperlink r:id="rId40">
        <w:r w:rsidR="00AC5703">
          <w:rPr>
            <w:color w:val="4472C4"/>
            <w:u w:val="single" w:color="4472C4"/>
          </w:rPr>
          <w:t>here</w:t>
        </w:r>
      </w:hyperlink>
      <w:hyperlink r:id="rId41">
        <w:r w:rsidR="00AC5703">
          <w:rPr>
            <w:color w:val="3E3E35"/>
          </w:rPr>
          <w:t>)</w:t>
        </w:r>
      </w:hyperlink>
      <w:r w:rsidR="00AC5703">
        <w:rPr>
          <w:color w:val="3E3E35"/>
        </w:rPr>
        <w:t xml:space="preserve"> </w:t>
      </w:r>
    </w:p>
    <w:p w14:paraId="385C4AB3" w14:textId="77777777" w:rsidR="00AC5703" w:rsidRDefault="00AC5703" w:rsidP="00AC5703">
      <w:pPr>
        <w:spacing w:after="110" w:line="259" w:lineRule="auto"/>
        <w:ind w:left="0" w:firstLine="0"/>
      </w:pPr>
      <w:r>
        <w:rPr>
          <w:color w:val="3E3E35"/>
          <w:sz w:val="12"/>
        </w:rPr>
        <w:t xml:space="preserve"> </w:t>
      </w:r>
    </w:p>
    <w:p w14:paraId="47AA7FCE" w14:textId="77777777" w:rsidR="00AC5703" w:rsidRDefault="009D0E4A" w:rsidP="00AC5703">
      <w:pPr>
        <w:numPr>
          <w:ilvl w:val="0"/>
          <w:numId w:val="6"/>
        </w:numPr>
        <w:spacing w:after="4" w:line="249" w:lineRule="auto"/>
        <w:ind w:hanging="360"/>
      </w:pPr>
      <w:hyperlink r:id="rId42">
        <w:r w:rsidR="00AC5703">
          <w:rPr>
            <w:b/>
            <w:color w:val="44546A"/>
          </w:rPr>
          <w:t>Taking</w:t>
        </w:r>
      </w:hyperlink>
      <w:hyperlink r:id="rId43">
        <w:r w:rsidR="00AC5703">
          <w:rPr>
            <w:b/>
            <w:color w:val="44546A"/>
          </w:rPr>
          <w:t xml:space="preserve"> </w:t>
        </w:r>
      </w:hyperlink>
      <w:hyperlink r:id="rId44">
        <w:r w:rsidR="00AC5703">
          <w:rPr>
            <w:b/>
            <w:color w:val="44546A"/>
          </w:rPr>
          <w:t>action to protect people</w:t>
        </w:r>
      </w:hyperlink>
      <w:hyperlink r:id="rId45">
        <w:r w:rsidR="00AC5703">
          <w:rPr>
            <w:color w:val="3E3E35"/>
          </w:rPr>
          <w:t xml:space="preserve"> </w:t>
        </w:r>
      </w:hyperlink>
      <w:r w:rsidR="00AC5703">
        <w:rPr>
          <w:color w:val="3E3E35"/>
        </w:rPr>
        <w:t xml:space="preserve">who use services (Link to CQC website </w:t>
      </w:r>
      <w:hyperlink r:id="rId46">
        <w:r w:rsidR="00AC5703">
          <w:rPr>
            <w:color w:val="4472C4"/>
            <w:u w:val="single" w:color="4472C4"/>
          </w:rPr>
          <w:t>here</w:t>
        </w:r>
      </w:hyperlink>
      <w:hyperlink r:id="rId47">
        <w:r w:rsidR="00AC5703">
          <w:rPr>
            <w:color w:val="3E3E35"/>
          </w:rPr>
          <w:t>)</w:t>
        </w:r>
      </w:hyperlink>
      <w:r w:rsidR="00AC5703">
        <w:rPr>
          <w:color w:val="3E3E35"/>
        </w:rPr>
        <w:t xml:space="preserve"> </w:t>
      </w:r>
    </w:p>
    <w:p w14:paraId="72F5E650" w14:textId="77777777" w:rsidR="00AC5703" w:rsidRPr="007A0ABE" w:rsidRDefault="00AC5703" w:rsidP="00AC5703">
      <w:pPr>
        <w:spacing w:after="0" w:line="259" w:lineRule="auto"/>
        <w:ind w:left="0" w:firstLine="0"/>
        <w:rPr>
          <w:szCs w:val="21"/>
        </w:rPr>
      </w:pPr>
      <w:r>
        <w:rPr>
          <w:rFonts w:ascii="Arial" w:eastAsia="Arial" w:hAnsi="Arial" w:cs="Arial"/>
          <w:sz w:val="23"/>
        </w:rPr>
        <w:t xml:space="preserve"> </w:t>
      </w:r>
    </w:p>
    <w:p w14:paraId="5E917B27" w14:textId="77777777" w:rsidR="00AC5703" w:rsidRPr="007A0ABE" w:rsidRDefault="00AC5703" w:rsidP="00AC5703">
      <w:pPr>
        <w:pStyle w:val="Heading4"/>
        <w:spacing w:after="0" w:line="259" w:lineRule="auto"/>
        <w:ind w:left="-5"/>
        <w:rPr>
          <w:szCs w:val="21"/>
        </w:rPr>
      </w:pPr>
      <w:r w:rsidRPr="007A0ABE">
        <w:rPr>
          <w:rFonts w:eastAsia="Arial" w:cs="Arial"/>
          <w:szCs w:val="21"/>
        </w:rPr>
        <w:t xml:space="preserve">Fundamental standards </w:t>
      </w:r>
    </w:p>
    <w:p w14:paraId="0E2E7D2F" w14:textId="77777777" w:rsidR="00AC5703" w:rsidRDefault="00AC5703" w:rsidP="00AC5703">
      <w:pPr>
        <w:spacing w:after="0" w:line="259" w:lineRule="auto"/>
        <w:ind w:left="0" w:firstLine="0"/>
      </w:pPr>
      <w:r>
        <w:rPr>
          <w:rFonts w:ascii="Arial" w:eastAsia="Arial" w:hAnsi="Arial" w:cs="Arial"/>
          <w:sz w:val="23"/>
        </w:rPr>
        <w:t xml:space="preserve"> </w:t>
      </w:r>
    </w:p>
    <w:p w14:paraId="28852AC6" w14:textId="1A03B2CB" w:rsidR="00AC5703" w:rsidRDefault="00AC5703" w:rsidP="00AC5703">
      <w:pPr>
        <w:ind w:left="-5" w:right="162"/>
      </w:pPr>
      <w:r>
        <w:t xml:space="preserve">All service providers registered with the CQC are expected to meet fundamental standards, </w:t>
      </w:r>
      <w:r w:rsidR="0073424A">
        <w:t xml:space="preserve">below </w:t>
      </w:r>
      <w:r>
        <w:t xml:space="preserve">which care should never fall.  These 17 standards include:  </w:t>
      </w:r>
    </w:p>
    <w:p w14:paraId="17C6B856" w14:textId="77777777" w:rsidR="00AC5703" w:rsidRDefault="00AC5703" w:rsidP="00AC5703">
      <w:pPr>
        <w:spacing w:after="6" w:line="259" w:lineRule="auto"/>
        <w:ind w:left="0" w:firstLine="0"/>
      </w:pPr>
      <w:r>
        <w:t xml:space="preserve"> </w:t>
      </w:r>
    </w:p>
    <w:p w14:paraId="3D9A7CE1" w14:textId="77777777" w:rsidR="00AC5703" w:rsidRDefault="00AC5703" w:rsidP="00AC5703">
      <w:pPr>
        <w:numPr>
          <w:ilvl w:val="0"/>
          <w:numId w:val="7"/>
        </w:numPr>
        <w:ind w:right="162" w:hanging="360"/>
      </w:pPr>
      <w:r>
        <w:t xml:space="preserve">Safeguarding from abuse: You must not suffer any form of abuse or improper treatment while receiving care. </w:t>
      </w:r>
    </w:p>
    <w:p w14:paraId="6AB5A212" w14:textId="77777777" w:rsidR="00AC5703" w:rsidRDefault="00AC5703" w:rsidP="00AC5703">
      <w:pPr>
        <w:spacing w:after="6" w:line="259" w:lineRule="auto"/>
        <w:ind w:left="0" w:firstLine="0"/>
      </w:pPr>
      <w:r>
        <w:t xml:space="preserve"> </w:t>
      </w:r>
    </w:p>
    <w:p w14:paraId="551780AD" w14:textId="77777777" w:rsidR="00AC5703" w:rsidRDefault="00AC5703" w:rsidP="00AC5703">
      <w:pPr>
        <w:numPr>
          <w:ilvl w:val="0"/>
          <w:numId w:val="7"/>
        </w:numPr>
        <w:ind w:right="162" w:hanging="360"/>
      </w:pPr>
      <w:r>
        <w:t xml:space="preserve">Duty of Candour: The provider of your care must be open and transparent with you about your care and treatment. Should something go wrong, they must tell you what has happened, provide support and apologise.     </w:t>
      </w:r>
      <w:hyperlink r:id="rId48">
        <w:r>
          <w:rPr>
            <w:color w:val="1F497D"/>
            <w:u w:val="single" w:color="1F497D"/>
          </w:rPr>
          <w:t>Regulation 20: Duty of Candour: Care Quality Commission</w:t>
        </w:r>
      </w:hyperlink>
      <w:hyperlink r:id="rId49">
        <w:r>
          <w:t xml:space="preserve"> </w:t>
        </w:r>
      </w:hyperlink>
    </w:p>
    <w:p w14:paraId="01B05B85" w14:textId="77777777" w:rsidR="00AC5703" w:rsidRDefault="00AC5703" w:rsidP="00AC5703">
      <w:pPr>
        <w:spacing w:after="0" w:line="259" w:lineRule="auto"/>
        <w:ind w:left="0" w:firstLine="0"/>
      </w:pPr>
      <w:r>
        <w:t xml:space="preserve"> </w:t>
      </w:r>
    </w:p>
    <w:p w14:paraId="65B3BBA8" w14:textId="6415E0B7" w:rsidR="00AC5703" w:rsidRDefault="00AC5703" w:rsidP="00AC5703">
      <w:pPr>
        <w:ind w:left="-5"/>
      </w:pPr>
      <w:r>
        <w:t xml:space="preserve">For more information about all the fundamental </w:t>
      </w:r>
      <w:r w:rsidRPr="00F074FF">
        <w:rPr>
          <w:color w:val="auto"/>
        </w:rPr>
        <w:t xml:space="preserve">standards see this </w:t>
      </w:r>
      <w:r>
        <w:t xml:space="preserve">Link to </w:t>
      </w:r>
      <w:r w:rsidR="0073424A">
        <w:t xml:space="preserve">the </w:t>
      </w:r>
      <w:r>
        <w:t xml:space="preserve">CQC website </w:t>
      </w:r>
      <w:hyperlink r:id="rId50">
        <w:r>
          <w:rPr>
            <w:color w:val="4472C4"/>
            <w:u w:val="single" w:color="4472C4"/>
          </w:rPr>
          <w:t>here</w:t>
        </w:r>
      </w:hyperlink>
      <w:r>
        <w:t xml:space="preserve">:  </w:t>
      </w:r>
    </w:p>
    <w:p w14:paraId="3B32FAAB" w14:textId="77777777" w:rsidR="00AC5703" w:rsidRPr="007A0ABE" w:rsidRDefault="00AC5703" w:rsidP="00AC5703">
      <w:pPr>
        <w:spacing w:after="16" w:line="259" w:lineRule="auto"/>
        <w:ind w:left="0" w:firstLine="0"/>
        <w:rPr>
          <w:szCs w:val="21"/>
        </w:rPr>
      </w:pPr>
      <w:r>
        <w:rPr>
          <w:rFonts w:ascii="Arial" w:eastAsia="Arial" w:hAnsi="Arial" w:cs="Arial"/>
          <w:sz w:val="23"/>
        </w:rPr>
        <w:t xml:space="preserve"> </w:t>
      </w:r>
    </w:p>
    <w:p w14:paraId="2DC74C69" w14:textId="77777777" w:rsidR="00AC5703" w:rsidRPr="007A0ABE" w:rsidRDefault="00AC5703" w:rsidP="00AC5703">
      <w:pPr>
        <w:pStyle w:val="Heading4"/>
        <w:spacing w:after="0" w:line="259" w:lineRule="auto"/>
        <w:ind w:left="-5"/>
        <w:rPr>
          <w:szCs w:val="21"/>
        </w:rPr>
      </w:pPr>
      <w:r w:rsidRPr="007A0ABE">
        <w:rPr>
          <w:rFonts w:eastAsia="Arial" w:cs="Arial"/>
          <w:szCs w:val="21"/>
        </w:rPr>
        <w:t xml:space="preserve">Statement on CQC’s role and responsibilities for safeguarding children and adults </w:t>
      </w:r>
    </w:p>
    <w:p w14:paraId="51CB2D43" w14:textId="77777777" w:rsidR="00AC5703" w:rsidRPr="007A0ABE" w:rsidRDefault="00AC5703" w:rsidP="00AC5703">
      <w:pPr>
        <w:spacing w:after="0" w:line="259" w:lineRule="auto"/>
        <w:ind w:left="0" w:firstLine="0"/>
        <w:rPr>
          <w:szCs w:val="21"/>
        </w:rPr>
      </w:pPr>
      <w:r w:rsidRPr="007A0ABE">
        <w:rPr>
          <w:rFonts w:eastAsia="Arial" w:cs="Arial"/>
          <w:szCs w:val="21"/>
        </w:rPr>
        <w:t xml:space="preserve"> </w:t>
      </w:r>
    </w:p>
    <w:p w14:paraId="7A944A5D" w14:textId="77777777" w:rsidR="00AC5703" w:rsidRPr="007A0ABE" w:rsidRDefault="00AC5703" w:rsidP="00AC5703">
      <w:pPr>
        <w:spacing w:after="267" w:line="239" w:lineRule="auto"/>
        <w:ind w:left="0" w:firstLine="0"/>
        <w:rPr>
          <w:szCs w:val="21"/>
        </w:rPr>
      </w:pPr>
      <w:r>
        <w:rPr>
          <w:rFonts w:eastAsia="Arial" w:cs="Arial"/>
          <w:szCs w:val="21"/>
        </w:rPr>
        <w:t>The CQC sets</w:t>
      </w:r>
      <w:r w:rsidRPr="007A0ABE">
        <w:rPr>
          <w:rFonts w:eastAsia="Arial" w:cs="Arial"/>
          <w:szCs w:val="21"/>
        </w:rPr>
        <w:t xml:space="preserve"> </w:t>
      </w:r>
      <w:r>
        <w:rPr>
          <w:rFonts w:eastAsia="Arial" w:cs="Arial"/>
          <w:szCs w:val="21"/>
        </w:rPr>
        <w:t xml:space="preserve">out </w:t>
      </w:r>
      <w:r w:rsidRPr="007A0ABE">
        <w:rPr>
          <w:rFonts w:eastAsia="Arial" w:cs="Arial"/>
          <w:szCs w:val="21"/>
        </w:rPr>
        <w:t xml:space="preserve">roles and responsibilities in relation to safeguarding. These include: </w:t>
      </w:r>
    </w:p>
    <w:p w14:paraId="25F5C8A0" w14:textId="77777777" w:rsidR="00AC5703" w:rsidRDefault="00AC5703" w:rsidP="00AC5703">
      <w:pPr>
        <w:numPr>
          <w:ilvl w:val="0"/>
          <w:numId w:val="8"/>
        </w:numPr>
        <w:spacing w:after="260"/>
        <w:ind w:right="162" w:hanging="360"/>
      </w:pPr>
      <w:r>
        <w:t xml:space="preserve">Supporting the local authority’s lead role in conducting enquiries or investigations regarding safeguarding children and adults. We do this by cooperating with them and sharing information where appropriate from our regulatory and monitoring activity. We assist the police in a similar way.   </w:t>
      </w:r>
    </w:p>
    <w:p w14:paraId="611E58E5" w14:textId="77777777" w:rsidR="00AC5703" w:rsidRDefault="00AC5703" w:rsidP="00AC5703">
      <w:pPr>
        <w:numPr>
          <w:ilvl w:val="0"/>
          <w:numId w:val="8"/>
        </w:numPr>
        <w:spacing w:after="230"/>
        <w:ind w:right="162" w:hanging="360"/>
      </w:pPr>
      <w:r>
        <w:t xml:space="preserve">Holding providers to account by taking regulatory action to ensure that they rectify any shortfalls in their arrangements to safeguard children and adults, and that that they maintain improvements. This includes requiring providers to produce action plans, taking enforcement action to remedy breaches of fundamental standards, and taking action against unregistered provider </w:t>
      </w:r>
    </w:p>
    <w:p w14:paraId="644540ED" w14:textId="77777777" w:rsidR="00AC5703" w:rsidRDefault="00AC5703" w:rsidP="00AC5703">
      <w:pPr>
        <w:ind w:left="-5" w:right="162"/>
      </w:pPr>
      <w:r>
        <w:t xml:space="preserve">The full document is available on the CQC webpage: </w:t>
      </w:r>
      <w:hyperlink r:id="rId51">
        <w:r>
          <w:rPr>
            <w:color w:val="4472C4"/>
            <w:u w:val="single" w:color="4472C4"/>
          </w:rPr>
          <w:t>here</w:t>
        </w:r>
      </w:hyperlink>
      <w:hyperlink r:id="rId52">
        <w:r>
          <w:t xml:space="preserve"> </w:t>
        </w:r>
      </w:hyperlink>
    </w:p>
    <w:p w14:paraId="4FD8A7FA" w14:textId="77777777" w:rsidR="00AC5703" w:rsidRDefault="00AC5703" w:rsidP="00AC5703">
      <w:pPr>
        <w:ind w:left="-5" w:right="162"/>
      </w:pPr>
    </w:p>
    <w:p w14:paraId="45B10088" w14:textId="77777777" w:rsidR="00AC5703" w:rsidRDefault="00AC5703" w:rsidP="00AC5703">
      <w:pPr>
        <w:pStyle w:val="Heading2"/>
        <w:ind w:left="705" w:hanging="720"/>
      </w:pPr>
      <w:bookmarkStart w:id="20" w:name="_Toc21855"/>
      <w:r>
        <w:t xml:space="preserve">The role of commissioning organisations  </w:t>
      </w:r>
      <w:bookmarkEnd w:id="20"/>
      <w:r>
        <w:t xml:space="preserve">  </w:t>
      </w:r>
    </w:p>
    <w:p w14:paraId="326E2BA9" w14:textId="77777777" w:rsidR="00AC5703" w:rsidRDefault="00AC5703" w:rsidP="00AC5703">
      <w:pPr>
        <w:spacing w:after="0" w:line="259" w:lineRule="auto"/>
        <w:ind w:left="0" w:firstLine="0"/>
      </w:pPr>
      <w:r>
        <w:rPr>
          <w:rFonts w:ascii="Arial" w:eastAsia="Arial" w:hAnsi="Arial" w:cs="Arial"/>
          <w:b/>
          <w:sz w:val="23"/>
        </w:rPr>
        <w:t xml:space="preserve"> </w:t>
      </w:r>
    </w:p>
    <w:p w14:paraId="478DCC75" w14:textId="77777777" w:rsidR="00AC5703" w:rsidRDefault="00AC5703" w:rsidP="00AC5703">
      <w:pPr>
        <w:ind w:left="-5" w:right="162"/>
      </w:pPr>
      <w:r>
        <w:t xml:space="preserve">Commissioning organisations will have required standards for services and systems in place for monitoring, inspection and for supporting service providers to achieve improved standards. </w:t>
      </w:r>
    </w:p>
    <w:p w14:paraId="25E98B15" w14:textId="77777777" w:rsidR="00AC5703" w:rsidRDefault="00AC5703" w:rsidP="00AC5703">
      <w:pPr>
        <w:spacing w:after="0" w:line="259" w:lineRule="auto"/>
        <w:ind w:left="0" w:firstLine="0"/>
      </w:pPr>
      <w:r>
        <w:t xml:space="preserve"> </w:t>
      </w:r>
    </w:p>
    <w:p w14:paraId="0B8971A9" w14:textId="1F733D23" w:rsidR="00AC5703" w:rsidRDefault="00AC5703" w:rsidP="00AC5703">
      <w:pPr>
        <w:ind w:left="-5" w:right="246"/>
      </w:pPr>
      <w:r>
        <w:t xml:space="preserve">In the event that safeguarding concerns emerge, these roles and responsibilities will be continuous with the safeguarding process, however liaison with the </w:t>
      </w:r>
      <w:r w:rsidRPr="00074965">
        <w:t>OSE</w:t>
      </w:r>
      <w:r w:rsidRPr="0073424A">
        <w:rPr>
          <w:highlight w:val="yellow"/>
        </w:rPr>
        <w:t xml:space="preserve"> </w:t>
      </w:r>
      <w:r w:rsidR="00074965">
        <w:lastRenderedPageBreak/>
        <w:t>Coordinator</w:t>
      </w:r>
      <w:r>
        <w:t xml:space="preserve"> will be required to ensure that responses are coordinated and information </w:t>
      </w:r>
      <w:r w:rsidR="00074965">
        <w:t xml:space="preserve">is </w:t>
      </w:r>
      <w:r>
        <w:t xml:space="preserve">shared appropriately.   </w:t>
      </w:r>
    </w:p>
    <w:p w14:paraId="32DA0962" w14:textId="77777777" w:rsidR="00AC5703" w:rsidRDefault="00AC5703" w:rsidP="00AC5703">
      <w:pPr>
        <w:spacing w:after="0" w:line="259" w:lineRule="auto"/>
        <w:ind w:left="0" w:firstLine="0"/>
      </w:pPr>
      <w:r>
        <w:t xml:space="preserve"> </w:t>
      </w:r>
    </w:p>
    <w:p w14:paraId="71A6B5C9" w14:textId="77777777" w:rsidR="00AC5703" w:rsidRDefault="00AC5703" w:rsidP="00AC5703">
      <w:pPr>
        <w:ind w:left="-5" w:right="162"/>
      </w:pPr>
      <w:r>
        <w:t xml:space="preserve">Depending on the circumstances, commissioning </w:t>
      </w:r>
      <w:r w:rsidRPr="002F205F">
        <w:t xml:space="preserve">organisations </w:t>
      </w:r>
      <w:r>
        <w:t xml:space="preserve">may support the safeguarding enquiry process by: </w:t>
      </w:r>
    </w:p>
    <w:p w14:paraId="2398E146" w14:textId="77777777" w:rsidR="00AC5703" w:rsidRDefault="00AC5703" w:rsidP="00AC5703">
      <w:pPr>
        <w:spacing w:after="110" w:line="259" w:lineRule="auto"/>
        <w:ind w:left="0" w:firstLine="0"/>
      </w:pPr>
      <w:r>
        <w:t xml:space="preserve"> </w:t>
      </w:r>
    </w:p>
    <w:p w14:paraId="3B06FAA5" w14:textId="77777777" w:rsidR="00AC5703" w:rsidRDefault="00AC5703" w:rsidP="00AC5703">
      <w:pPr>
        <w:numPr>
          <w:ilvl w:val="0"/>
          <w:numId w:val="9"/>
        </w:numPr>
        <w:spacing w:after="121"/>
        <w:ind w:right="162" w:hanging="355"/>
      </w:pPr>
      <w:r>
        <w:t xml:space="preserve">Advising on past service performance issues and agreed actions to address concerns </w:t>
      </w:r>
    </w:p>
    <w:p w14:paraId="15CA58F8" w14:textId="77777777" w:rsidR="00AC5703" w:rsidRDefault="00AC5703" w:rsidP="00AC5703">
      <w:pPr>
        <w:numPr>
          <w:ilvl w:val="0"/>
          <w:numId w:val="9"/>
        </w:numPr>
        <w:spacing w:after="86"/>
        <w:ind w:right="162" w:hanging="355"/>
      </w:pPr>
      <w:r>
        <w:t xml:space="preserve">Advising on expected standards and identifying areas where the service provider has not met their contractual requirements </w:t>
      </w:r>
    </w:p>
    <w:p w14:paraId="0EC3F172" w14:textId="77777777" w:rsidR="00AC5703" w:rsidRDefault="00AC5703" w:rsidP="00AC5703">
      <w:pPr>
        <w:numPr>
          <w:ilvl w:val="0"/>
          <w:numId w:val="9"/>
        </w:numPr>
        <w:spacing w:after="86"/>
        <w:ind w:right="162" w:hanging="355"/>
      </w:pPr>
      <w:r>
        <w:t xml:space="preserve">Undertaking a review of systems or records. </w:t>
      </w:r>
    </w:p>
    <w:p w14:paraId="0E12639B" w14:textId="77777777" w:rsidR="00AC5703" w:rsidRDefault="00AC5703" w:rsidP="00AC5703">
      <w:pPr>
        <w:numPr>
          <w:ilvl w:val="0"/>
          <w:numId w:val="9"/>
        </w:numPr>
        <w:spacing w:after="93"/>
        <w:ind w:right="162" w:hanging="355"/>
      </w:pPr>
      <w:r>
        <w:t xml:space="preserve">Obtaining from the service provider all relevant policies and procedures </w:t>
      </w:r>
    </w:p>
    <w:p w14:paraId="7283E5D5" w14:textId="1F44A8AC" w:rsidR="00AC5703" w:rsidRDefault="00AC5703" w:rsidP="00AC5703">
      <w:pPr>
        <w:numPr>
          <w:ilvl w:val="0"/>
          <w:numId w:val="9"/>
        </w:numPr>
        <w:spacing w:after="93"/>
        <w:ind w:right="162" w:hanging="355"/>
      </w:pPr>
      <w:r>
        <w:t>Inspecting</w:t>
      </w:r>
      <w:r w:rsidR="0073424A">
        <w:t>,</w:t>
      </w:r>
      <w:r>
        <w:t xml:space="preserve"> </w:t>
      </w:r>
      <w:r w:rsidR="0073424A">
        <w:t>monitoring,</w:t>
      </w:r>
      <w:r>
        <w:t xml:space="preserve"> or reviewing areas of organisational practice  </w:t>
      </w:r>
    </w:p>
    <w:p w14:paraId="491502E1" w14:textId="294FE2F1" w:rsidR="00AC5703" w:rsidRDefault="00AC5703" w:rsidP="00AC5703">
      <w:pPr>
        <w:numPr>
          <w:ilvl w:val="0"/>
          <w:numId w:val="9"/>
        </w:numPr>
        <w:spacing w:after="93"/>
        <w:ind w:right="162" w:hanging="355"/>
      </w:pPr>
      <w:r>
        <w:t>Requiring evidence of improved</w:t>
      </w:r>
      <w:r w:rsidR="0073424A">
        <w:t xml:space="preserve"> or acceptable</w:t>
      </w:r>
      <w:r>
        <w:t xml:space="preserve"> practice </w:t>
      </w:r>
    </w:p>
    <w:p w14:paraId="461C5E29" w14:textId="4630B160" w:rsidR="00AC5703" w:rsidRDefault="00AC5703" w:rsidP="00AC5703">
      <w:pPr>
        <w:numPr>
          <w:ilvl w:val="0"/>
          <w:numId w:val="9"/>
        </w:numPr>
        <w:spacing w:after="63"/>
        <w:ind w:right="162" w:hanging="355"/>
      </w:pPr>
      <w:r>
        <w:t>Identifying the need for service improvement plans or action plan</w:t>
      </w:r>
      <w:r w:rsidR="0073424A">
        <w:t>s</w:t>
      </w:r>
      <w:r>
        <w:t xml:space="preserve">  </w:t>
      </w:r>
    </w:p>
    <w:p w14:paraId="49551E5D" w14:textId="77777777" w:rsidR="00AC5703" w:rsidRDefault="00AC5703" w:rsidP="00AC5703">
      <w:pPr>
        <w:spacing w:after="0" w:line="259" w:lineRule="auto"/>
        <w:ind w:left="0" w:firstLine="0"/>
      </w:pPr>
      <w:r>
        <w:rPr>
          <w:color w:val="C00000"/>
        </w:rPr>
        <w:t xml:space="preserve"> </w:t>
      </w:r>
    </w:p>
    <w:p w14:paraId="617ABCF6" w14:textId="77777777" w:rsidR="00AC5703" w:rsidRDefault="00AC5703" w:rsidP="00AC5703">
      <w:pPr>
        <w:ind w:left="-5" w:right="285"/>
      </w:pPr>
      <w:r>
        <w:t xml:space="preserve">A service improvement plan may be required by the commissioning </w:t>
      </w:r>
      <w:r w:rsidRPr="009C6A48">
        <w:t>organisations</w:t>
      </w:r>
      <w:r>
        <w:t xml:space="preserve"> to achieve required standards of service provision. The nature of such plans will be determined by the relevant commissioning </w:t>
      </w:r>
      <w:r w:rsidRPr="009C6A48">
        <w:t>organisation</w:t>
      </w:r>
      <w:r>
        <w:t xml:space="preserve">s. </w:t>
      </w:r>
    </w:p>
    <w:p w14:paraId="3CB007C7" w14:textId="77777777" w:rsidR="00AC5703" w:rsidRDefault="00AC5703" w:rsidP="00AC5703">
      <w:pPr>
        <w:spacing w:after="0" w:line="259" w:lineRule="auto"/>
        <w:ind w:left="0" w:firstLine="0"/>
      </w:pPr>
      <w:r>
        <w:rPr>
          <w:color w:val="C00000"/>
        </w:rPr>
        <w:t xml:space="preserve"> </w:t>
      </w:r>
    </w:p>
    <w:p w14:paraId="48273209" w14:textId="77777777" w:rsidR="00AC5703" w:rsidRDefault="00AC5703" w:rsidP="00AC5703">
      <w:pPr>
        <w:ind w:left="-5" w:right="162"/>
      </w:pPr>
    </w:p>
    <w:p w14:paraId="22B76DD2" w14:textId="77777777" w:rsidR="00AC5703" w:rsidRDefault="00AC5703" w:rsidP="00AC5703">
      <w:pPr>
        <w:ind w:left="-5" w:right="162"/>
      </w:pPr>
    </w:p>
    <w:p w14:paraId="71FCD000" w14:textId="77777777" w:rsidR="00AC5703" w:rsidRDefault="00AC5703" w:rsidP="00AC5703">
      <w:pPr>
        <w:ind w:left="-5" w:right="162"/>
      </w:pPr>
    </w:p>
    <w:p w14:paraId="0AC4917B" w14:textId="77777777" w:rsidR="00AC5703" w:rsidRDefault="00AC5703" w:rsidP="00AC5703">
      <w:pPr>
        <w:ind w:left="-5" w:right="162"/>
      </w:pPr>
    </w:p>
    <w:p w14:paraId="320DCA5D" w14:textId="77777777" w:rsidR="00AC5703" w:rsidRDefault="00AC5703" w:rsidP="00AC5703">
      <w:pPr>
        <w:ind w:left="-5" w:right="162"/>
      </w:pPr>
    </w:p>
    <w:p w14:paraId="561931D8" w14:textId="77777777" w:rsidR="00AC5703" w:rsidRDefault="00AC5703" w:rsidP="00AC5703">
      <w:pPr>
        <w:ind w:left="-5" w:right="162"/>
      </w:pPr>
    </w:p>
    <w:p w14:paraId="1F9A0011" w14:textId="77777777" w:rsidR="00AC5703" w:rsidRDefault="00AC5703" w:rsidP="00AC5703">
      <w:pPr>
        <w:ind w:left="-5" w:right="162"/>
      </w:pPr>
    </w:p>
    <w:p w14:paraId="7201426C" w14:textId="77777777" w:rsidR="00AC5703" w:rsidRDefault="00AC5703" w:rsidP="00AC5703">
      <w:pPr>
        <w:ind w:left="-5" w:right="162"/>
      </w:pPr>
    </w:p>
    <w:p w14:paraId="355E168E" w14:textId="77777777" w:rsidR="00AC5703" w:rsidRPr="00F074FF" w:rsidRDefault="00AC5703" w:rsidP="00AC5703">
      <w:pPr>
        <w:spacing w:after="0" w:line="259" w:lineRule="auto"/>
        <w:ind w:left="0" w:firstLine="0"/>
        <w:rPr>
          <w:szCs w:val="21"/>
        </w:rPr>
      </w:pPr>
    </w:p>
    <w:p w14:paraId="04994C2B" w14:textId="77777777" w:rsidR="0054480F" w:rsidRDefault="0054480F"/>
    <w:sectPr w:rsidR="0054480F">
      <w:footerReference w:type="even" r:id="rId53"/>
      <w:footerReference w:type="default" r:id="rId54"/>
      <w:footerReference w:type="first" r:id="rId55"/>
      <w:footnotePr>
        <w:numRestart w:val="eachPage"/>
      </w:footnotePr>
      <w:pgSz w:w="11906" w:h="16838"/>
      <w:pgMar w:top="1490" w:right="1273" w:bottom="1419" w:left="1440" w:header="72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B5949" w14:textId="77777777" w:rsidR="0054480F" w:rsidRDefault="0054480F">
      <w:pPr>
        <w:spacing w:after="0" w:line="240" w:lineRule="auto"/>
      </w:pPr>
      <w:r>
        <w:separator/>
      </w:r>
    </w:p>
  </w:endnote>
  <w:endnote w:type="continuationSeparator" w:id="0">
    <w:p w14:paraId="50DAEC77" w14:textId="77777777" w:rsidR="0054480F" w:rsidRDefault="0054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A606C" w14:textId="77777777" w:rsidR="0054480F" w:rsidRDefault="0054480F">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39BD" w14:textId="77777777" w:rsidR="0054480F" w:rsidRDefault="00873A28">
    <w:pPr>
      <w:spacing w:after="0" w:line="229" w:lineRule="auto"/>
      <w:ind w:left="308" w:right="4555" w:firstLine="0"/>
    </w:pPr>
    <w:r>
      <w:rPr>
        <w:sz w:val="18"/>
      </w:rPr>
      <w:t xml:space="preserve">                                                                 </w:t>
    </w:r>
    <w:r>
      <w:fldChar w:fldCharType="begin"/>
    </w:r>
    <w:r>
      <w:instrText xml:space="preserve"> PAGE   \* MERGEFORMAT </w:instrText>
    </w:r>
    <w:r>
      <w:fldChar w:fldCharType="separate"/>
    </w:r>
    <w:r w:rsidRPr="007C78EC">
      <w:rPr>
        <w:noProof/>
        <w:sz w:val="20"/>
      </w:rPr>
      <w:t>3</w:t>
    </w:r>
    <w:r>
      <w:rPr>
        <w:sz w:val="20"/>
      </w:rPr>
      <w:fldChar w:fldCharType="end"/>
    </w:r>
    <w:r>
      <w:rPr>
        <w:sz w:val="20"/>
      </w:rPr>
      <w:t xml:space="preserve"> </w:t>
    </w:r>
    <w:r>
      <w:rPr>
        <w:rFonts w:ascii="Arial" w:eastAsia="Arial" w:hAnsi="Arial" w:cs="Arial"/>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678055"/>
      <w:docPartObj>
        <w:docPartGallery w:val="Page Numbers (Bottom of Page)"/>
        <w:docPartUnique/>
      </w:docPartObj>
    </w:sdtPr>
    <w:sdtEndPr>
      <w:rPr>
        <w:noProof/>
      </w:rPr>
    </w:sdtEndPr>
    <w:sdtContent>
      <w:p w14:paraId="36F87EDF" w14:textId="77777777" w:rsidR="0054480F" w:rsidRDefault="00873A2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627F9EA" w14:textId="77777777" w:rsidR="0054480F" w:rsidRDefault="0054480F">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914421"/>
      <w:docPartObj>
        <w:docPartGallery w:val="Page Numbers (Bottom of Page)"/>
        <w:docPartUnique/>
      </w:docPartObj>
    </w:sdtPr>
    <w:sdtEndPr>
      <w:rPr>
        <w:noProof/>
      </w:rPr>
    </w:sdtEndPr>
    <w:sdtContent>
      <w:p w14:paraId="2BC488C0" w14:textId="77777777" w:rsidR="0054480F" w:rsidRDefault="00873A28">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2DBEF41C" w14:textId="77777777" w:rsidR="0054480F" w:rsidRDefault="0054480F">
    <w:pPr>
      <w:spacing w:after="0" w:line="229" w:lineRule="auto"/>
      <w:ind w:left="0" w:right="4671"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768231"/>
      <w:docPartObj>
        <w:docPartGallery w:val="Page Numbers (Bottom of Page)"/>
        <w:docPartUnique/>
      </w:docPartObj>
    </w:sdtPr>
    <w:sdtEndPr>
      <w:rPr>
        <w:noProof/>
      </w:rPr>
    </w:sdtEndPr>
    <w:sdtContent>
      <w:p w14:paraId="669171DC" w14:textId="77777777" w:rsidR="0054480F" w:rsidRDefault="00873A28">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74C9E4D4" w14:textId="77777777" w:rsidR="0054480F" w:rsidRDefault="0054480F">
    <w:pPr>
      <w:spacing w:after="0" w:line="229" w:lineRule="auto"/>
      <w:ind w:left="0" w:right="4671"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C32" w14:textId="77777777" w:rsidR="0054480F" w:rsidRDefault="00873A28">
    <w:pPr>
      <w:spacing w:after="0" w:line="229" w:lineRule="auto"/>
      <w:ind w:left="0" w:right="4671" w:firstLine="0"/>
    </w:pPr>
    <w:r>
      <w:rPr>
        <w:sz w:val="18"/>
      </w:rPr>
      <w:t>Version: February 2021</w:t>
    </w:r>
    <w:r>
      <w:rPr>
        <w:sz w:val="20"/>
      </w:rPr>
      <w:t xml:space="preserve">                               </w:t>
    </w:r>
    <w:r>
      <w:fldChar w:fldCharType="begin"/>
    </w:r>
    <w:r>
      <w:instrText xml:space="preserve"> PAGE   \* MERGEFORMAT </w:instrText>
    </w:r>
    <w:r>
      <w:fldChar w:fldCharType="separate"/>
    </w:r>
    <w:r>
      <w:rPr>
        <w:sz w:val="20"/>
      </w:rPr>
      <w:t>3</w:t>
    </w:r>
    <w:r>
      <w:rPr>
        <w:sz w:val="20"/>
      </w:rPr>
      <w:fldChar w:fldCharType="end"/>
    </w:r>
    <w:r>
      <w:rPr>
        <w:sz w:val="20"/>
      </w:rPr>
      <w:t xml:space="preserve"> </w:t>
    </w:r>
    <w:r>
      <w:rPr>
        <w:rFonts w:ascii="Arial" w:eastAsia="Arial" w:hAnsi="Arial" w:cs="Arial"/>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F4273" w14:textId="77777777" w:rsidR="0054480F" w:rsidRDefault="0054480F">
      <w:pPr>
        <w:spacing w:after="0" w:line="240" w:lineRule="auto"/>
      </w:pPr>
      <w:r>
        <w:separator/>
      </w:r>
    </w:p>
  </w:footnote>
  <w:footnote w:type="continuationSeparator" w:id="0">
    <w:p w14:paraId="0DEF3255" w14:textId="77777777" w:rsidR="0054480F" w:rsidRDefault="00544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6F18"/>
    <w:multiLevelType w:val="hybridMultilevel"/>
    <w:tmpl w:val="D9A05F00"/>
    <w:lvl w:ilvl="0" w:tplc="08090001">
      <w:start w:val="1"/>
      <w:numFmt w:val="bullet"/>
      <w:lvlText w:val=""/>
      <w:lvlJc w:val="left"/>
      <w:pPr>
        <w:ind w:left="1028" w:hanging="360"/>
      </w:pPr>
      <w:rPr>
        <w:rFonts w:ascii="Symbol" w:hAnsi="Symbol" w:hint="default"/>
      </w:rPr>
    </w:lvl>
    <w:lvl w:ilvl="1" w:tplc="08090003" w:tentative="1">
      <w:start w:val="1"/>
      <w:numFmt w:val="bullet"/>
      <w:lvlText w:val="o"/>
      <w:lvlJc w:val="left"/>
      <w:pPr>
        <w:ind w:left="1748" w:hanging="360"/>
      </w:pPr>
      <w:rPr>
        <w:rFonts w:ascii="Courier New" w:hAnsi="Courier New" w:cs="Courier New" w:hint="default"/>
      </w:rPr>
    </w:lvl>
    <w:lvl w:ilvl="2" w:tplc="08090005" w:tentative="1">
      <w:start w:val="1"/>
      <w:numFmt w:val="bullet"/>
      <w:lvlText w:val=""/>
      <w:lvlJc w:val="left"/>
      <w:pPr>
        <w:ind w:left="2468" w:hanging="360"/>
      </w:pPr>
      <w:rPr>
        <w:rFonts w:ascii="Wingdings" w:hAnsi="Wingdings" w:hint="default"/>
      </w:rPr>
    </w:lvl>
    <w:lvl w:ilvl="3" w:tplc="08090001" w:tentative="1">
      <w:start w:val="1"/>
      <w:numFmt w:val="bullet"/>
      <w:lvlText w:val=""/>
      <w:lvlJc w:val="left"/>
      <w:pPr>
        <w:ind w:left="3188" w:hanging="360"/>
      </w:pPr>
      <w:rPr>
        <w:rFonts w:ascii="Symbol" w:hAnsi="Symbol" w:hint="default"/>
      </w:rPr>
    </w:lvl>
    <w:lvl w:ilvl="4" w:tplc="08090003" w:tentative="1">
      <w:start w:val="1"/>
      <w:numFmt w:val="bullet"/>
      <w:lvlText w:val="o"/>
      <w:lvlJc w:val="left"/>
      <w:pPr>
        <w:ind w:left="3908" w:hanging="360"/>
      </w:pPr>
      <w:rPr>
        <w:rFonts w:ascii="Courier New" w:hAnsi="Courier New" w:cs="Courier New" w:hint="default"/>
      </w:rPr>
    </w:lvl>
    <w:lvl w:ilvl="5" w:tplc="08090005" w:tentative="1">
      <w:start w:val="1"/>
      <w:numFmt w:val="bullet"/>
      <w:lvlText w:val=""/>
      <w:lvlJc w:val="left"/>
      <w:pPr>
        <w:ind w:left="4628" w:hanging="360"/>
      </w:pPr>
      <w:rPr>
        <w:rFonts w:ascii="Wingdings" w:hAnsi="Wingdings" w:hint="default"/>
      </w:rPr>
    </w:lvl>
    <w:lvl w:ilvl="6" w:tplc="08090001" w:tentative="1">
      <w:start w:val="1"/>
      <w:numFmt w:val="bullet"/>
      <w:lvlText w:val=""/>
      <w:lvlJc w:val="left"/>
      <w:pPr>
        <w:ind w:left="5348" w:hanging="360"/>
      </w:pPr>
      <w:rPr>
        <w:rFonts w:ascii="Symbol" w:hAnsi="Symbol" w:hint="default"/>
      </w:rPr>
    </w:lvl>
    <w:lvl w:ilvl="7" w:tplc="08090003" w:tentative="1">
      <w:start w:val="1"/>
      <w:numFmt w:val="bullet"/>
      <w:lvlText w:val="o"/>
      <w:lvlJc w:val="left"/>
      <w:pPr>
        <w:ind w:left="6068" w:hanging="360"/>
      </w:pPr>
      <w:rPr>
        <w:rFonts w:ascii="Courier New" w:hAnsi="Courier New" w:cs="Courier New" w:hint="default"/>
      </w:rPr>
    </w:lvl>
    <w:lvl w:ilvl="8" w:tplc="08090005" w:tentative="1">
      <w:start w:val="1"/>
      <w:numFmt w:val="bullet"/>
      <w:lvlText w:val=""/>
      <w:lvlJc w:val="left"/>
      <w:pPr>
        <w:ind w:left="6788" w:hanging="360"/>
      </w:pPr>
      <w:rPr>
        <w:rFonts w:ascii="Wingdings" w:hAnsi="Wingdings" w:hint="default"/>
      </w:rPr>
    </w:lvl>
  </w:abstractNum>
  <w:abstractNum w:abstractNumId="1" w15:restartNumberingAfterBreak="0">
    <w:nsid w:val="07A168AD"/>
    <w:multiLevelType w:val="hybridMultilevel"/>
    <w:tmpl w:val="FBB01754"/>
    <w:lvl w:ilvl="0" w:tplc="393E86C8">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82EAF8E">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F342FB2">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91253CA">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7C440DC">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8720427A">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450E728">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2BCFE70">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DA26A90">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912358D"/>
    <w:multiLevelType w:val="multilevel"/>
    <w:tmpl w:val="30B87B00"/>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
      <w:lvlJc w:val="left"/>
      <w:pPr>
        <w:tabs>
          <w:tab w:val="num" w:pos="1680"/>
        </w:tabs>
        <w:ind w:left="1680" w:hanging="360"/>
      </w:pPr>
      <w:rPr>
        <w:rFonts w:ascii="Symbol" w:hAnsi="Symbol" w:hint="default"/>
        <w:sz w:val="20"/>
      </w:rPr>
    </w:lvl>
    <w:lvl w:ilvl="2" w:tentative="1">
      <w:start w:val="1"/>
      <w:numFmt w:val="bullet"/>
      <w:lvlText w:val=""/>
      <w:lvlJc w:val="left"/>
      <w:pPr>
        <w:tabs>
          <w:tab w:val="num" w:pos="2400"/>
        </w:tabs>
        <w:ind w:left="2400" w:hanging="360"/>
      </w:pPr>
      <w:rPr>
        <w:rFonts w:ascii="Symbol" w:hAnsi="Symbol" w:hint="default"/>
        <w:sz w:val="20"/>
      </w:rPr>
    </w:lvl>
    <w:lvl w:ilvl="3" w:tentative="1">
      <w:start w:val="1"/>
      <w:numFmt w:val="bullet"/>
      <w:lvlText w:val=""/>
      <w:lvlJc w:val="left"/>
      <w:pPr>
        <w:tabs>
          <w:tab w:val="num" w:pos="3120"/>
        </w:tabs>
        <w:ind w:left="3120" w:hanging="360"/>
      </w:pPr>
      <w:rPr>
        <w:rFonts w:ascii="Symbol" w:hAnsi="Symbol" w:hint="default"/>
        <w:sz w:val="20"/>
      </w:rPr>
    </w:lvl>
    <w:lvl w:ilvl="4" w:tentative="1">
      <w:start w:val="1"/>
      <w:numFmt w:val="bullet"/>
      <w:lvlText w:val=""/>
      <w:lvlJc w:val="left"/>
      <w:pPr>
        <w:tabs>
          <w:tab w:val="num" w:pos="3840"/>
        </w:tabs>
        <w:ind w:left="3840" w:hanging="360"/>
      </w:pPr>
      <w:rPr>
        <w:rFonts w:ascii="Symbol" w:hAnsi="Symbol" w:hint="default"/>
        <w:sz w:val="20"/>
      </w:rPr>
    </w:lvl>
    <w:lvl w:ilvl="5" w:tentative="1">
      <w:start w:val="1"/>
      <w:numFmt w:val="bullet"/>
      <w:lvlText w:val=""/>
      <w:lvlJc w:val="left"/>
      <w:pPr>
        <w:tabs>
          <w:tab w:val="num" w:pos="4560"/>
        </w:tabs>
        <w:ind w:left="4560" w:hanging="360"/>
      </w:pPr>
      <w:rPr>
        <w:rFonts w:ascii="Symbol" w:hAnsi="Symbol" w:hint="default"/>
        <w:sz w:val="20"/>
      </w:rPr>
    </w:lvl>
    <w:lvl w:ilvl="6" w:tentative="1">
      <w:start w:val="1"/>
      <w:numFmt w:val="bullet"/>
      <w:lvlText w:val=""/>
      <w:lvlJc w:val="left"/>
      <w:pPr>
        <w:tabs>
          <w:tab w:val="num" w:pos="5280"/>
        </w:tabs>
        <w:ind w:left="5280" w:hanging="360"/>
      </w:pPr>
      <w:rPr>
        <w:rFonts w:ascii="Symbol" w:hAnsi="Symbol" w:hint="default"/>
        <w:sz w:val="20"/>
      </w:rPr>
    </w:lvl>
    <w:lvl w:ilvl="7" w:tentative="1">
      <w:start w:val="1"/>
      <w:numFmt w:val="bullet"/>
      <w:lvlText w:val=""/>
      <w:lvlJc w:val="left"/>
      <w:pPr>
        <w:tabs>
          <w:tab w:val="num" w:pos="6000"/>
        </w:tabs>
        <w:ind w:left="6000" w:hanging="360"/>
      </w:pPr>
      <w:rPr>
        <w:rFonts w:ascii="Symbol" w:hAnsi="Symbol" w:hint="default"/>
        <w:sz w:val="20"/>
      </w:rPr>
    </w:lvl>
    <w:lvl w:ilvl="8" w:tentative="1">
      <w:start w:val="1"/>
      <w:numFmt w:val="bullet"/>
      <w:lvlText w:val=""/>
      <w:lvlJc w:val="left"/>
      <w:pPr>
        <w:tabs>
          <w:tab w:val="num" w:pos="6720"/>
        </w:tabs>
        <w:ind w:left="6720" w:hanging="360"/>
      </w:pPr>
      <w:rPr>
        <w:rFonts w:ascii="Symbol" w:hAnsi="Symbol" w:hint="default"/>
        <w:sz w:val="20"/>
      </w:rPr>
    </w:lvl>
  </w:abstractNum>
  <w:abstractNum w:abstractNumId="3" w15:restartNumberingAfterBreak="0">
    <w:nsid w:val="1CA11020"/>
    <w:multiLevelType w:val="hybridMultilevel"/>
    <w:tmpl w:val="8E2806BE"/>
    <w:lvl w:ilvl="0" w:tplc="FE34D1E6">
      <w:start w:val="1"/>
      <w:numFmt w:val="bullet"/>
      <w:lvlText w:val="•"/>
      <w:lvlJc w:val="left"/>
      <w:pPr>
        <w:ind w:left="705"/>
      </w:pPr>
      <w:rPr>
        <w:rFonts w:ascii="Arial" w:eastAsia="Arial" w:hAnsi="Arial" w:cs="Arial"/>
        <w:b w:val="0"/>
        <w:i w:val="0"/>
        <w:strike w:val="0"/>
        <w:dstrike w:val="0"/>
        <w:color w:val="3E3E35"/>
        <w:sz w:val="21"/>
        <w:szCs w:val="21"/>
        <w:u w:val="none" w:color="000000"/>
        <w:bdr w:val="none" w:sz="0" w:space="0" w:color="auto"/>
        <w:shd w:val="clear" w:color="auto" w:fill="auto"/>
        <w:vertAlign w:val="baseline"/>
      </w:rPr>
    </w:lvl>
    <w:lvl w:ilvl="1" w:tplc="E74846C0">
      <w:start w:val="1"/>
      <w:numFmt w:val="bullet"/>
      <w:lvlText w:val="o"/>
      <w:lvlJc w:val="left"/>
      <w:pPr>
        <w:ind w:left="1440"/>
      </w:pPr>
      <w:rPr>
        <w:rFonts w:ascii="Segoe UI Symbol" w:eastAsia="Segoe UI Symbol" w:hAnsi="Segoe UI Symbol" w:cs="Segoe UI Symbol"/>
        <w:b w:val="0"/>
        <w:i w:val="0"/>
        <w:strike w:val="0"/>
        <w:dstrike w:val="0"/>
        <w:color w:val="3E3E35"/>
        <w:sz w:val="21"/>
        <w:szCs w:val="21"/>
        <w:u w:val="none" w:color="000000"/>
        <w:bdr w:val="none" w:sz="0" w:space="0" w:color="auto"/>
        <w:shd w:val="clear" w:color="auto" w:fill="auto"/>
        <w:vertAlign w:val="baseline"/>
      </w:rPr>
    </w:lvl>
    <w:lvl w:ilvl="2" w:tplc="B5FE7258">
      <w:start w:val="1"/>
      <w:numFmt w:val="bullet"/>
      <w:lvlText w:val="▪"/>
      <w:lvlJc w:val="left"/>
      <w:pPr>
        <w:ind w:left="2160"/>
      </w:pPr>
      <w:rPr>
        <w:rFonts w:ascii="Segoe UI Symbol" w:eastAsia="Segoe UI Symbol" w:hAnsi="Segoe UI Symbol" w:cs="Segoe UI Symbol"/>
        <w:b w:val="0"/>
        <w:i w:val="0"/>
        <w:strike w:val="0"/>
        <w:dstrike w:val="0"/>
        <w:color w:val="3E3E35"/>
        <w:sz w:val="21"/>
        <w:szCs w:val="21"/>
        <w:u w:val="none" w:color="000000"/>
        <w:bdr w:val="none" w:sz="0" w:space="0" w:color="auto"/>
        <w:shd w:val="clear" w:color="auto" w:fill="auto"/>
        <w:vertAlign w:val="baseline"/>
      </w:rPr>
    </w:lvl>
    <w:lvl w:ilvl="3" w:tplc="28C43D1E">
      <w:start w:val="1"/>
      <w:numFmt w:val="bullet"/>
      <w:lvlText w:val="•"/>
      <w:lvlJc w:val="left"/>
      <w:pPr>
        <w:ind w:left="2880"/>
      </w:pPr>
      <w:rPr>
        <w:rFonts w:ascii="Arial" w:eastAsia="Arial" w:hAnsi="Arial" w:cs="Arial"/>
        <w:b w:val="0"/>
        <w:i w:val="0"/>
        <w:strike w:val="0"/>
        <w:dstrike w:val="0"/>
        <w:color w:val="3E3E35"/>
        <w:sz w:val="21"/>
        <w:szCs w:val="21"/>
        <w:u w:val="none" w:color="000000"/>
        <w:bdr w:val="none" w:sz="0" w:space="0" w:color="auto"/>
        <w:shd w:val="clear" w:color="auto" w:fill="auto"/>
        <w:vertAlign w:val="baseline"/>
      </w:rPr>
    </w:lvl>
    <w:lvl w:ilvl="4" w:tplc="24C28DEA">
      <w:start w:val="1"/>
      <w:numFmt w:val="bullet"/>
      <w:lvlText w:val="o"/>
      <w:lvlJc w:val="left"/>
      <w:pPr>
        <w:ind w:left="3600"/>
      </w:pPr>
      <w:rPr>
        <w:rFonts w:ascii="Segoe UI Symbol" w:eastAsia="Segoe UI Symbol" w:hAnsi="Segoe UI Symbol" w:cs="Segoe UI Symbol"/>
        <w:b w:val="0"/>
        <w:i w:val="0"/>
        <w:strike w:val="0"/>
        <w:dstrike w:val="0"/>
        <w:color w:val="3E3E35"/>
        <w:sz w:val="21"/>
        <w:szCs w:val="21"/>
        <w:u w:val="none" w:color="000000"/>
        <w:bdr w:val="none" w:sz="0" w:space="0" w:color="auto"/>
        <w:shd w:val="clear" w:color="auto" w:fill="auto"/>
        <w:vertAlign w:val="baseline"/>
      </w:rPr>
    </w:lvl>
    <w:lvl w:ilvl="5" w:tplc="D95A003A">
      <w:start w:val="1"/>
      <w:numFmt w:val="bullet"/>
      <w:lvlText w:val="▪"/>
      <w:lvlJc w:val="left"/>
      <w:pPr>
        <w:ind w:left="4320"/>
      </w:pPr>
      <w:rPr>
        <w:rFonts w:ascii="Segoe UI Symbol" w:eastAsia="Segoe UI Symbol" w:hAnsi="Segoe UI Symbol" w:cs="Segoe UI Symbol"/>
        <w:b w:val="0"/>
        <w:i w:val="0"/>
        <w:strike w:val="0"/>
        <w:dstrike w:val="0"/>
        <w:color w:val="3E3E35"/>
        <w:sz w:val="21"/>
        <w:szCs w:val="21"/>
        <w:u w:val="none" w:color="000000"/>
        <w:bdr w:val="none" w:sz="0" w:space="0" w:color="auto"/>
        <w:shd w:val="clear" w:color="auto" w:fill="auto"/>
        <w:vertAlign w:val="baseline"/>
      </w:rPr>
    </w:lvl>
    <w:lvl w:ilvl="6" w:tplc="15E8D284">
      <w:start w:val="1"/>
      <w:numFmt w:val="bullet"/>
      <w:lvlText w:val="•"/>
      <w:lvlJc w:val="left"/>
      <w:pPr>
        <w:ind w:left="5040"/>
      </w:pPr>
      <w:rPr>
        <w:rFonts w:ascii="Arial" w:eastAsia="Arial" w:hAnsi="Arial" w:cs="Arial"/>
        <w:b w:val="0"/>
        <w:i w:val="0"/>
        <w:strike w:val="0"/>
        <w:dstrike w:val="0"/>
        <w:color w:val="3E3E35"/>
        <w:sz w:val="21"/>
        <w:szCs w:val="21"/>
        <w:u w:val="none" w:color="000000"/>
        <w:bdr w:val="none" w:sz="0" w:space="0" w:color="auto"/>
        <w:shd w:val="clear" w:color="auto" w:fill="auto"/>
        <w:vertAlign w:val="baseline"/>
      </w:rPr>
    </w:lvl>
    <w:lvl w:ilvl="7" w:tplc="925C44DC">
      <w:start w:val="1"/>
      <w:numFmt w:val="bullet"/>
      <w:lvlText w:val="o"/>
      <w:lvlJc w:val="left"/>
      <w:pPr>
        <w:ind w:left="5760"/>
      </w:pPr>
      <w:rPr>
        <w:rFonts w:ascii="Segoe UI Symbol" w:eastAsia="Segoe UI Symbol" w:hAnsi="Segoe UI Symbol" w:cs="Segoe UI Symbol"/>
        <w:b w:val="0"/>
        <w:i w:val="0"/>
        <w:strike w:val="0"/>
        <w:dstrike w:val="0"/>
        <w:color w:val="3E3E35"/>
        <w:sz w:val="21"/>
        <w:szCs w:val="21"/>
        <w:u w:val="none" w:color="000000"/>
        <w:bdr w:val="none" w:sz="0" w:space="0" w:color="auto"/>
        <w:shd w:val="clear" w:color="auto" w:fill="auto"/>
        <w:vertAlign w:val="baseline"/>
      </w:rPr>
    </w:lvl>
    <w:lvl w:ilvl="8" w:tplc="4028BC6C">
      <w:start w:val="1"/>
      <w:numFmt w:val="bullet"/>
      <w:lvlText w:val="▪"/>
      <w:lvlJc w:val="left"/>
      <w:pPr>
        <w:ind w:left="6480"/>
      </w:pPr>
      <w:rPr>
        <w:rFonts w:ascii="Segoe UI Symbol" w:eastAsia="Segoe UI Symbol" w:hAnsi="Segoe UI Symbol" w:cs="Segoe UI Symbol"/>
        <w:b w:val="0"/>
        <w:i w:val="0"/>
        <w:strike w:val="0"/>
        <w:dstrike w:val="0"/>
        <w:color w:val="3E3E35"/>
        <w:sz w:val="21"/>
        <w:szCs w:val="21"/>
        <w:u w:val="none" w:color="000000"/>
        <w:bdr w:val="none" w:sz="0" w:space="0" w:color="auto"/>
        <w:shd w:val="clear" w:color="auto" w:fill="auto"/>
        <w:vertAlign w:val="baseline"/>
      </w:rPr>
    </w:lvl>
  </w:abstractNum>
  <w:abstractNum w:abstractNumId="4" w15:restartNumberingAfterBreak="0">
    <w:nsid w:val="1F1F3223"/>
    <w:multiLevelType w:val="hybridMultilevel"/>
    <w:tmpl w:val="2ADC9190"/>
    <w:lvl w:ilvl="0" w:tplc="D0341A82">
      <w:start w:val="1"/>
      <w:numFmt w:val="bullet"/>
      <w:lvlText w:val="•"/>
      <w:lvlJc w:val="left"/>
      <w:pPr>
        <w:ind w:left="71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0044072">
      <w:start w:val="1"/>
      <w:numFmt w:val="bullet"/>
      <w:lvlText w:val="o"/>
      <w:lvlJc w:val="left"/>
      <w:pPr>
        <w:ind w:left="14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11ACFFC">
      <w:start w:val="1"/>
      <w:numFmt w:val="bullet"/>
      <w:lvlText w:val="▪"/>
      <w:lvlJc w:val="left"/>
      <w:pPr>
        <w:ind w:left="21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B166E1C">
      <w:start w:val="1"/>
      <w:numFmt w:val="bullet"/>
      <w:lvlText w:val="•"/>
      <w:lvlJc w:val="left"/>
      <w:pPr>
        <w:ind w:left="28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46C87D8">
      <w:start w:val="1"/>
      <w:numFmt w:val="bullet"/>
      <w:lvlText w:val="o"/>
      <w:lvlJc w:val="left"/>
      <w:pPr>
        <w:ind w:left="35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856322A">
      <w:start w:val="1"/>
      <w:numFmt w:val="bullet"/>
      <w:lvlText w:val="▪"/>
      <w:lvlJc w:val="left"/>
      <w:pPr>
        <w:ind w:left="43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7F425BC">
      <w:start w:val="1"/>
      <w:numFmt w:val="bullet"/>
      <w:lvlText w:val="•"/>
      <w:lvlJc w:val="left"/>
      <w:pPr>
        <w:ind w:left="50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1962960">
      <w:start w:val="1"/>
      <w:numFmt w:val="bullet"/>
      <w:lvlText w:val="o"/>
      <w:lvlJc w:val="left"/>
      <w:pPr>
        <w:ind w:left="57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C34A73B6">
      <w:start w:val="1"/>
      <w:numFmt w:val="bullet"/>
      <w:lvlText w:val="▪"/>
      <w:lvlJc w:val="left"/>
      <w:pPr>
        <w:ind w:left="64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92B0A46"/>
    <w:multiLevelType w:val="hybridMultilevel"/>
    <w:tmpl w:val="7C924C12"/>
    <w:lvl w:ilvl="0" w:tplc="EAA8C5EC">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6" w15:restartNumberingAfterBreak="0">
    <w:nsid w:val="38012CFE"/>
    <w:multiLevelType w:val="multilevel"/>
    <w:tmpl w:val="8654C152"/>
    <w:lvl w:ilvl="0">
      <w:start w:val="1"/>
      <w:numFmt w:val="decimal"/>
      <w:pStyle w:val="Heading1"/>
      <w:lvlText w:val="%1."/>
      <w:lvlJc w:val="left"/>
      <w:pPr>
        <w:ind w:left="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1">
      <w:start w:val="1"/>
      <w:numFmt w:val="decimal"/>
      <w:pStyle w:val="Heading2"/>
      <w:lvlText w:val="%1.%2"/>
      <w:lvlJc w:val="left"/>
      <w:pPr>
        <w:ind w:left="0"/>
      </w:pPr>
      <w:rPr>
        <w:rFonts w:ascii="Verdana" w:eastAsia="Verdana" w:hAnsi="Verdana" w:cs="Verdana"/>
        <w:b/>
        <w:bCs/>
        <w:i w:val="0"/>
        <w:strike w:val="0"/>
        <w:dstrike w:val="0"/>
        <w:color w:val="000000"/>
        <w:sz w:val="21"/>
        <w:szCs w:val="21"/>
        <w:u w:val="none" w:color="000000"/>
        <w:bdr w:val="none" w:sz="0" w:space="0" w:color="auto"/>
        <w:shd w:val="clear" w:color="auto" w:fill="auto"/>
        <w:vertAlign w:val="baseline"/>
      </w:rPr>
    </w:lvl>
    <w:lvl w:ilvl="2">
      <w:start w:val="1"/>
      <w:numFmt w:val="decimal"/>
      <w:pStyle w:val="Heading3"/>
      <w:lvlText w:val="%1.%2.%3"/>
      <w:lvlJc w:val="left"/>
      <w:pPr>
        <w:ind w:left="0"/>
      </w:pPr>
      <w:rPr>
        <w:rFonts w:ascii="Verdana" w:eastAsia="Verdana" w:hAnsi="Verdana" w:cs="Verdana"/>
        <w:b/>
        <w:bCs/>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bCs/>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bCs/>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bCs/>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bCs/>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bCs/>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bCs/>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18A7FD9"/>
    <w:multiLevelType w:val="hybridMultilevel"/>
    <w:tmpl w:val="13005848"/>
    <w:lvl w:ilvl="0" w:tplc="44169568">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3288EFA">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F463664">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18387CAE">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AFCF1B8">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98A2E32">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5EAC874">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1AAFAB8">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A16EE72">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2613CBC"/>
    <w:multiLevelType w:val="hybridMultilevel"/>
    <w:tmpl w:val="6A968CF8"/>
    <w:lvl w:ilvl="0" w:tplc="79FC4790">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2BADF82">
      <w:start w:val="1"/>
      <w:numFmt w:val="bullet"/>
      <w:lvlText w:val="o"/>
      <w:lvlJc w:val="left"/>
      <w:pPr>
        <w:ind w:left="14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345E5966">
      <w:start w:val="1"/>
      <w:numFmt w:val="bullet"/>
      <w:lvlText w:val="▪"/>
      <w:lvlJc w:val="left"/>
      <w:pPr>
        <w:ind w:left="21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BC4E46E">
      <w:start w:val="1"/>
      <w:numFmt w:val="bullet"/>
      <w:lvlText w:val="•"/>
      <w:lvlJc w:val="left"/>
      <w:pPr>
        <w:ind w:left="28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9D677BA">
      <w:start w:val="1"/>
      <w:numFmt w:val="bullet"/>
      <w:lvlText w:val="o"/>
      <w:lvlJc w:val="left"/>
      <w:pPr>
        <w:ind w:left="35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84A2DE4E">
      <w:start w:val="1"/>
      <w:numFmt w:val="bullet"/>
      <w:lvlText w:val="▪"/>
      <w:lvlJc w:val="left"/>
      <w:pPr>
        <w:ind w:left="43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D9AEBB0">
      <w:start w:val="1"/>
      <w:numFmt w:val="bullet"/>
      <w:lvlText w:val="•"/>
      <w:lvlJc w:val="left"/>
      <w:pPr>
        <w:ind w:left="50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866771E">
      <w:start w:val="1"/>
      <w:numFmt w:val="bullet"/>
      <w:lvlText w:val="o"/>
      <w:lvlJc w:val="left"/>
      <w:pPr>
        <w:ind w:left="57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892AEDE">
      <w:start w:val="1"/>
      <w:numFmt w:val="bullet"/>
      <w:lvlText w:val="▪"/>
      <w:lvlJc w:val="left"/>
      <w:pPr>
        <w:ind w:left="64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4C8B264A"/>
    <w:multiLevelType w:val="hybridMultilevel"/>
    <w:tmpl w:val="2F2C11C8"/>
    <w:lvl w:ilvl="0" w:tplc="8168D9C0">
      <w:start w:val="1"/>
      <w:numFmt w:val="bullet"/>
      <w:lvlText w:val=""/>
      <w:lvlJc w:val="left"/>
      <w:pPr>
        <w:ind w:left="705"/>
      </w:pPr>
      <w:rPr>
        <w:rFonts w:ascii="Wingdings" w:eastAsia="Wingdings" w:hAnsi="Wingdings" w:cs="Wingdings"/>
        <w:b w:val="0"/>
        <w:i w:val="0"/>
        <w:strike w:val="0"/>
        <w:dstrike w:val="0"/>
        <w:color w:val="4472C4"/>
        <w:sz w:val="21"/>
        <w:szCs w:val="21"/>
        <w:u w:val="none" w:color="000000"/>
        <w:bdr w:val="none" w:sz="0" w:space="0" w:color="auto"/>
        <w:shd w:val="clear" w:color="auto" w:fill="auto"/>
        <w:vertAlign w:val="baseline"/>
      </w:rPr>
    </w:lvl>
    <w:lvl w:ilvl="1" w:tplc="4912986C">
      <w:start w:val="1"/>
      <w:numFmt w:val="bullet"/>
      <w:lvlText w:val="o"/>
      <w:lvlJc w:val="left"/>
      <w:pPr>
        <w:ind w:left="1440"/>
      </w:pPr>
      <w:rPr>
        <w:rFonts w:ascii="Wingdings" w:eastAsia="Wingdings" w:hAnsi="Wingdings" w:cs="Wingdings"/>
        <w:b w:val="0"/>
        <w:i w:val="0"/>
        <w:strike w:val="0"/>
        <w:dstrike w:val="0"/>
        <w:color w:val="4472C4"/>
        <w:sz w:val="21"/>
        <w:szCs w:val="21"/>
        <w:u w:val="none" w:color="000000"/>
        <w:bdr w:val="none" w:sz="0" w:space="0" w:color="auto"/>
        <w:shd w:val="clear" w:color="auto" w:fill="auto"/>
        <w:vertAlign w:val="baseline"/>
      </w:rPr>
    </w:lvl>
    <w:lvl w:ilvl="2" w:tplc="097880AA">
      <w:start w:val="1"/>
      <w:numFmt w:val="bullet"/>
      <w:lvlText w:val="▪"/>
      <w:lvlJc w:val="left"/>
      <w:pPr>
        <w:ind w:left="2160"/>
      </w:pPr>
      <w:rPr>
        <w:rFonts w:ascii="Wingdings" w:eastAsia="Wingdings" w:hAnsi="Wingdings" w:cs="Wingdings"/>
        <w:b w:val="0"/>
        <w:i w:val="0"/>
        <w:strike w:val="0"/>
        <w:dstrike w:val="0"/>
        <w:color w:val="4472C4"/>
        <w:sz w:val="21"/>
        <w:szCs w:val="21"/>
        <w:u w:val="none" w:color="000000"/>
        <w:bdr w:val="none" w:sz="0" w:space="0" w:color="auto"/>
        <w:shd w:val="clear" w:color="auto" w:fill="auto"/>
        <w:vertAlign w:val="baseline"/>
      </w:rPr>
    </w:lvl>
    <w:lvl w:ilvl="3" w:tplc="7D86ECFC">
      <w:start w:val="1"/>
      <w:numFmt w:val="bullet"/>
      <w:lvlText w:val="•"/>
      <w:lvlJc w:val="left"/>
      <w:pPr>
        <w:ind w:left="2880"/>
      </w:pPr>
      <w:rPr>
        <w:rFonts w:ascii="Wingdings" w:eastAsia="Wingdings" w:hAnsi="Wingdings" w:cs="Wingdings"/>
        <w:b w:val="0"/>
        <w:i w:val="0"/>
        <w:strike w:val="0"/>
        <w:dstrike w:val="0"/>
        <w:color w:val="4472C4"/>
        <w:sz w:val="21"/>
        <w:szCs w:val="21"/>
        <w:u w:val="none" w:color="000000"/>
        <w:bdr w:val="none" w:sz="0" w:space="0" w:color="auto"/>
        <w:shd w:val="clear" w:color="auto" w:fill="auto"/>
        <w:vertAlign w:val="baseline"/>
      </w:rPr>
    </w:lvl>
    <w:lvl w:ilvl="4" w:tplc="089E18E2">
      <w:start w:val="1"/>
      <w:numFmt w:val="bullet"/>
      <w:lvlText w:val="o"/>
      <w:lvlJc w:val="left"/>
      <w:pPr>
        <w:ind w:left="3600"/>
      </w:pPr>
      <w:rPr>
        <w:rFonts w:ascii="Wingdings" w:eastAsia="Wingdings" w:hAnsi="Wingdings" w:cs="Wingdings"/>
        <w:b w:val="0"/>
        <w:i w:val="0"/>
        <w:strike w:val="0"/>
        <w:dstrike w:val="0"/>
        <w:color w:val="4472C4"/>
        <w:sz w:val="21"/>
        <w:szCs w:val="21"/>
        <w:u w:val="none" w:color="000000"/>
        <w:bdr w:val="none" w:sz="0" w:space="0" w:color="auto"/>
        <w:shd w:val="clear" w:color="auto" w:fill="auto"/>
        <w:vertAlign w:val="baseline"/>
      </w:rPr>
    </w:lvl>
    <w:lvl w:ilvl="5" w:tplc="ECFC206A">
      <w:start w:val="1"/>
      <w:numFmt w:val="bullet"/>
      <w:lvlText w:val="▪"/>
      <w:lvlJc w:val="left"/>
      <w:pPr>
        <w:ind w:left="4320"/>
      </w:pPr>
      <w:rPr>
        <w:rFonts w:ascii="Wingdings" w:eastAsia="Wingdings" w:hAnsi="Wingdings" w:cs="Wingdings"/>
        <w:b w:val="0"/>
        <w:i w:val="0"/>
        <w:strike w:val="0"/>
        <w:dstrike w:val="0"/>
        <w:color w:val="4472C4"/>
        <w:sz w:val="21"/>
        <w:szCs w:val="21"/>
        <w:u w:val="none" w:color="000000"/>
        <w:bdr w:val="none" w:sz="0" w:space="0" w:color="auto"/>
        <w:shd w:val="clear" w:color="auto" w:fill="auto"/>
        <w:vertAlign w:val="baseline"/>
      </w:rPr>
    </w:lvl>
    <w:lvl w:ilvl="6" w:tplc="09E86C0E">
      <w:start w:val="1"/>
      <w:numFmt w:val="bullet"/>
      <w:lvlText w:val="•"/>
      <w:lvlJc w:val="left"/>
      <w:pPr>
        <w:ind w:left="5040"/>
      </w:pPr>
      <w:rPr>
        <w:rFonts w:ascii="Wingdings" w:eastAsia="Wingdings" w:hAnsi="Wingdings" w:cs="Wingdings"/>
        <w:b w:val="0"/>
        <w:i w:val="0"/>
        <w:strike w:val="0"/>
        <w:dstrike w:val="0"/>
        <w:color w:val="4472C4"/>
        <w:sz w:val="21"/>
        <w:szCs w:val="21"/>
        <w:u w:val="none" w:color="000000"/>
        <w:bdr w:val="none" w:sz="0" w:space="0" w:color="auto"/>
        <w:shd w:val="clear" w:color="auto" w:fill="auto"/>
        <w:vertAlign w:val="baseline"/>
      </w:rPr>
    </w:lvl>
    <w:lvl w:ilvl="7" w:tplc="BD18F464">
      <w:start w:val="1"/>
      <w:numFmt w:val="bullet"/>
      <w:lvlText w:val="o"/>
      <w:lvlJc w:val="left"/>
      <w:pPr>
        <w:ind w:left="5760"/>
      </w:pPr>
      <w:rPr>
        <w:rFonts w:ascii="Wingdings" w:eastAsia="Wingdings" w:hAnsi="Wingdings" w:cs="Wingdings"/>
        <w:b w:val="0"/>
        <w:i w:val="0"/>
        <w:strike w:val="0"/>
        <w:dstrike w:val="0"/>
        <w:color w:val="4472C4"/>
        <w:sz w:val="21"/>
        <w:szCs w:val="21"/>
        <w:u w:val="none" w:color="000000"/>
        <w:bdr w:val="none" w:sz="0" w:space="0" w:color="auto"/>
        <w:shd w:val="clear" w:color="auto" w:fill="auto"/>
        <w:vertAlign w:val="baseline"/>
      </w:rPr>
    </w:lvl>
    <w:lvl w:ilvl="8" w:tplc="5532D99A">
      <w:start w:val="1"/>
      <w:numFmt w:val="bullet"/>
      <w:lvlText w:val="▪"/>
      <w:lvlJc w:val="left"/>
      <w:pPr>
        <w:ind w:left="6480"/>
      </w:pPr>
      <w:rPr>
        <w:rFonts w:ascii="Wingdings" w:eastAsia="Wingdings" w:hAnsi="Wingdings" w:cs="Wingdings"/>
        <w:b w:val="0"/>
        <w:i w:val="0"/>
        <w:strike w:val="0"/>
        <w:dstrike w:val="0"/>
        <w:color w:val="4472C4"/>
        <w:sz w:val="21"/>
        <w:szCs w:val="21"/>
        <w:u w:val="none" w:color="000000"/>
        <w:bdr w:val="none" w:sz="0" w:space="0" w:color="auto"/>
        <w:shd w:val="clear" w:color="auto" w:fill="auto"/>
        <w:vertAlign w:val="baseline"/>
      </w:rPr>
    </w:lvl>
  </w:abstractNum>
  <w:abstractNum w:abstractNumId="10" w15:restartNumberingAfterBreak="0">
    <w:nsid w:val="70BF24A7"/>
    <w:multiLevelType w:val="hybridMultilevel"/>
    <w:tmpl w:val="C820F7F6"/>
    <w:lvl w:ilvl="0" w:tplc="26446656">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5188D74">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40042A6">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E7EBC30">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C7EAD68">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F405BFE">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D24F55E">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6D433D4">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C16A9406">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734C7E28"/>
    <w:multiLevelType w:val="hybridMultilevel"/>
    <w:tmpl w:val="3CB0AC62"/>
    <w:lvl w:ilvl="0" w:tplc="B7EC768A">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45ED58C">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4EEFC14">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C0C1FFC">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ACA88B0">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B1E818E">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506AFC0">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798CBB6">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985CB0E2">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7E4459AF"/>
    <w:multiLevelType w:val="hybridMultilevel"/>
    <w:tmpl w:val="99F4C8A4"/>
    <w:lvl w:ilvl="0" w:tplc="B72464EE">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F66029A">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E6A12B8">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6BEFF1C">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2F68FE2">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B724ACC">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80CDAA4">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B002038">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634FFB2">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16cid:durableId="986518831">
    <w:abstractNumId w:val="7"/>
  </w:num>
  <w:num w:numId="2" w16cid:durableId="1691834453">
    <w:abstractNumId w:val="1"/>
  </w:num>
  <w:num w:numId="3" w16cid:durableId="1826164962">
    <w:abstractNumId w:val="9"/>
  </w:num>
  <w:num w:numId="4" w16cid:durableId="1507206546">
    <w:abstractNumId w:val="8"/>
  </w:num>
  <w:num w:numId="5" w16cid:durableId="182868781">
    <w:abstractNumId w:val="11"/>
  </w:num>
  <w:num w:numId="6" w16cid:durableId="284426958">
    <w:abstractNumId w:val="3"/>
  </w:num>
  <w:num w:numId="7" w16cid:durableId="1520048369">
    <w:abstractNumId w:val="12"/>
  </w:num>
  <w:num w:numId="8" w16cid:durableId="67461635">
    <w:abstractNumId w:val="10"/>
  </w:num>
  <w:num w:numId="9" w16cid:durableId="1287199484">
    <w:abstractNumId w:val="4"/>
  </w:num>
  <w:num w:numId="10" w16cid:durableId="1750736230">
    <w:abstractNumId w:val="6"/>
  </w:num>
  <w:num w:numId="11" w16cid:durableId="124783922">
    <w:abstractNumId w:val="2"/>
  </w:num>
  <w:num w:numId="12" w16cid:durableId="1818914121">
    <w:abstractNumId w:val="0"/>
  </w:num>
  <w:num w:numId="13" w16cid:durableId="12105341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3784626">
    <w:abstractNumId w:val="5"/>
  </w:num>
  <w:num w:numId="15" w16cid:durableId="1281109966">
    <w:abstractNumId w:val="6"/>
    <w:lvlOverride w:ilvl="0">
      <w:startOverride w:val="3"/>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703"/>
    <w:rsid w:val="0006315B"/>
    <w:rsid w:val="00074965"/>
    <w:rsid w:val="00095719"/>
    <w:rsid w:val="000E33AA"/>
    <w:rsid w:val="00280316"/>
    <w:rsid w:val="00322DAC"/>
    <w:rsid w:val="00431AE7"/>
    <w:rsid w:val="004A695A"/>
    <w:rsid w:val="0054480F"/>
    <w:rsid w:val="005C3B02"/>
    <w:rsid w:val="005E05FD"/>
    <w:rsid w:val="006F2396"/>
    <w:rsid w:val="0073424A"/>
    <w:rsid w:val="00873A28"/>
    <w:rsid w:val="009362A4"/>
    <w:rsid w:val="009749E8"/>
    <w:rsid w:val="009D0E4A"/>
    <w:rsid w:val="009E0125"/>
    <w:rsid w:val="009F6DC2"/>
    <w:rsid w:val="00A11D68"/>
    <w:rsid w:val="00A40FFD"/>
    <w:rsid w:val="00A72A30"/>
    <w:rsid w:val="00A81FA9"/>
    <w:rsid w:val="00AC5703"/>
    <w:rsid w:val="00C46611"/>
    <w:rsid w:val="00C56B13"/>
    <w:rsid w:val="00D701A0"/>
    <w:rsid w:val="00EE3748"/>
    <w:rsid w:val="00F22432"/>
    <w:rsid w:val="00F33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DBA3A"/>
  <w15:chartTrackingRefBased/>
  <w15:docId w15:val="{4A25AF96-8310-47E5-8998-B91D1F02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703"/>
    <w:pPr>
      <w:spacing w:after="5" w:line="248" w:lineRule="auto"/>
      <w:ind w:left="318" w:hanging="10"/>
    </w:pPr>
    <w:rPr>
      <w:rFonts w:ascii="Verdana" w:eastAsia="Verdana" w:hAnsi="Verdana" w:cs="Verdana"/>
      <w:color w:val="000000"/>
      <w:kern w:val="0"/>
      <w:sz w:val="21"/>
      <w:lang w:eastAsia="en-GB"/>
      <w14:ligatures w14:val="none"/>
    </w:rPr>
  </w:style>
  <w:style w:type="paragraph" w:styleId="Heading1">
    <w:name w:val="heading 1"/>
    <w:next w:val="Normal"/>
    <w:link w:val="Heading1Char"/>
    <w:uiPriority w:val="9"/>
    <w:unhideWhenUsed/>
    <w:qFormat/>
    <w:rsid w:val="00AC5703"/>
    <w:pPr>
      <w:keepNext/>
      <w:keepLines/>
      <w:numPr>
        <w:numId w:val="10"/>
      </w:numPr>
      <w:spacing w:after="0"/>
      <w:ind w:left="318" w:hanging="10"/>
      <w:outlineLvl w:val="0"/>
    </w:pPr>
    <w:rPr>
      <w:rFonts w:ascii="Verdana" w:eastAsia="Verdana" w:hAnsi="Verdana" w:cs="Verdana"/>
      <w:b/>
      <w:color w:val="000000"/>
      <w:kern w:val="0"/>
      <w:sz w:val="24"/>
      <w:lang w:eastAsia="en-GB"/>
      <w14:ligatures w14:val="none"/>
    </w:rPr>
  </w:style>
  <w:style w:type="paragraph" w:styleId="Heading2">
    <w:name w:val="heading 2"/>
    <w:next w:val="Normal"/>
    <w:link w:val="Heading2Char"/>
    <w:uiPriority w:val="9"/>
    <w:unhideWhenUsed/>
    <w:qFormat/>
    <w:rsid w:val="00AC5703"/>
    <w:pPr>
      <w:keepNext/>
      <w:keepLines/>
      <w:numPr>
        <w:ilvl w:val="1"/>
        <w:numId w:val="10"/>
      </w:numPr>
      <w:spacing w:after="9" w:line="249" w:lineRule="auto"/>
      <w:ind w:left="318" w:hanging="10"/>
      <w:outlineLvl w:val="1"/>
    </w:pPr>
    <w:rPr>
      <w:rFonts w:ascii="Verdana" w:eastAsia="Verdana" w:hAnsi="Verdana" w:cs="Verdana"/>
      <w:b/>
      <w:color w:val="000000"/>
      <w:kern w:val="0"/>
      <w:sz w:val="21"/>
      <w:lang w:eastAsia="en-GB"/>
      <w14:ligatures w14:val="none"/>
    </w:rPr>
  </w:style>
  <w:style w:type="paragraph" w:styleId="Heading3">
    <w:name w:val="heading 3"/>
    <w:next w:val="Normal"/>
    <w:link w:val="Heading3Char"/>
    <w:uiPriority w:val="9"/>
    <w:unhideWhenUsed/>
    <w:qFormat/>
    <w:rsid w:val="00AC5703"/>
    <w:pPr>
      <w:keepNext/>
      <w:keepLines/>
      <w:numPr>
        <w:ilvl w:val="2"/>
        <w:numId w:val="10"/>
      </w:numPr>
      <w:spacing w:after="9" w:line="249" w:lineRule="auto"/>
      <w:ind w:left="318" w:hanging="10"/>
      <w:outlineLvl w:val="2"/>
    </w:pPr>
    <w:rPr>
      <w:rFonts w:ascii="Verdana" w:eastAsia="Verdana" w:hAnsi="Verdana" w:cs="Verdana"/>
      <w:b/>
      <w:color w:val="000000"/>
      <w:kern w:val="0"/>
      <w:sz w:val="21"/>
      <w:lang w:eastAsia="en-GB"/>
      <w14:ligatures w14:val="none"/>
    </w:rPr>
  </w:style>
  <w:style w:type="paragraph" w:styleId="Heading4">
    <w:name w:val="heading 4"/>
    <w:next w:val="Normal"/>
    <w:link w:val="Heading4Char"/>
    <w:uiPriority w:val="9"/>
    <w:unhideWhenUsed/>
    <w:qFormat/>
    <w:rsid w:val="00AC5703"/>
    <w:pPr>
      <w:keepNext/>
      <w:keepLines/>
      <w:spacing w:after="9" w:line="249" w:lineRule="auto"/>
      <w:ind w:left="318" w:hanging="10"/>
      <w:outlineLvl w:val="3"/>
    </w:pPr>
    <w:rPr>
      <w:rFonts w:ascii="Verdana" w:eastAsia="Verdana" w:hAnsi="Verdana" w:cs="Verdana"/>
      <w:b/>
      <w:color w:val="000000"/>
      <w:kern w:val="0"/>
      <w:sz w:val="21"/>
      <w:lang w:eastAsia="en-GB"/>
      <w14:ligatures w14:val="none"/>
    </w:rPr>
  </w:style>
  <w:style w:type="paragraph" w:styleId="Heading5">
    <w:name w:val="heading 5"/>
    <w:next w:val="Normal"/>
    <w:link w:val="Heading5Char"/>
    <w:uiPriority w:val="9"/>
    <w:unhideWhenUsed/>
    <w:qFormat/>
    <w:rsid w:val="00AC5703"/>
    <w:pPr>
      <w:keepNext/>
      <w:keepLines/>
      <w:spacing w:after="9" w:line="249" w:lineRule="auto"/>
      <w:ind w:left="318" w:hanging="10"/>
      <w:outlineLvl w:val="4"/>
    </w:pPr>
    <w:rPr>
      <w:rFonts w:ascii="Verdana" w:eastAsia="Verdana" w:hAnsi="Verdana" w:cs="Verdana"/>
      <w:b/>
      <w:color w:val="000000"/>
      <w:kern w:val="0"/>
      <w:sz w:val="21"/>
      <w:lang w:eastAsia="en-GB"/>
      <w14:ligatures w14:val="none"/>
    </w:rPr>
  </w:style>
  <w:style w:type="paragraph" w:styleId="Heading6">
    <w:name w:val="heading 6"/>
    <w:next w:val="Normal"/>
    <w:link w:val="Heading6Char"/>
    <w:uiPriority w:val="9"/>
    <w:unhideWhenUsed/>
    <w:qFormat/>
    <w:rsid w:val="00AC5703"/>
    <w:pPr>
      <w:keepNext/>
      <w:keepLines/>
      <w:spacing w:after="9" w:line="249" w:lineRule="auto"/>
      <w:ind w:left="318" w:hanging="10"/>
      <w:outlineLvl w:val="5"/>
    </w:pPr>
    <w:rPr>
      <w:rFonts w:ascii="Verdana" w:eastAsia="Verdana" w:hAnsi="Verdana" w:cs="Verdana"/>
      <w:b/>
      <w:color w:val="000000"/>
      <w:kern w:val="0"/>
      <w:sz w:val="21"/>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703"/>
    <w:rPr>
      <w:rFonts w:ascii="Verdana" w:eastAsia="Verdana" w:hAnsi="Verdana" w:cs="Verdana"/>
      <w:b/>
      <w:color w:val="000000"/>
      <w:kern w:val="0"/>
      <w:sz w:val="24"/>
      <w:lang w:eastAsia="en-GB"/>
      <w14:ligatures w14:val="none"/>
    </w:rPr>
  </w:style>
  <w:style w:type="character" w:customStyle="1" w:styleId="Heading2Char">
    <w:name w:val="Heading 2 Char"/>
    <w:basedOn w:val="DefaultParagraphFont"/>
    <w:link w:val="Heading2"/>
    <w:uiPriority w:val="9"/>
    <w:rsid w:val="00AC5703"/>
    <w:rPr>
      <w:rFonts w:ascii="Verdana" w:eastAsia="Verdana" w:hAnsi="Verdana" w:cs="Verdana"/>
      <w:b/>
      <w:color w:val="000000"/>
      <w:kern w:val="0"/>
      <w:sz w:val="21"/>
      <w:lang w:eastAsia="en-GB"/>
      <w14:ligatures w14:val="none"/>
    </w:rPr>
  </w:style>
  <w:style w:type="character" w:customStyle="1" w:styleId="Heading3Char">
    <w:name w:val="Heading 3 Char"/>
    <w:basedOn w:val="DefaultParagraphFont"/>
    <w:link w:val="Heading3"/>
    <w:uiPriority w:val="9"/>
    <w:rsid w:val="00AC5703"/>
    <w:rPr>
      <w:rFonts w:ascii="Verdana" w:eastAsia="Verdana" w:hAnsi="Verdana" w:cs="Verdana"/>
      <w:b/>
      <w:color w:val="000000"/>
      <w:kern w:val="0"/>
      <w:sz w:val="21"/>
      <w:lang w:eastAsia="en-GB"/>
      <w14:ligatures w14:val="none"/>
    </w:rPr>
  </w:style>
  <w:style w:type="character" w:customStyle="1" w:styleId="Heading4Char">
    <w:name w:val="Heading 4 Char"/>
    <w:basedOn w:val="DefaultParagraphFont"/>
    <w:link w:val="Heading4"/>
    <w:uiPriority w:val="9"/>
    <w:rsid w:val="00AC5703"/>
    <w:rPr>
      <w:rFonts w:ascii="Verdana" w:eastAsia="Verdana" w:hAnsi="Verdana" w:cs="Verdana"/>
      <w:b/>
      <w:color w:val="000000"/>
      <w:kern w:val="0"/>
      <w:sz w:val="21"/>
      <w:lang w:eastAsia="en-GB"/>
      <w14:ligatures w14:val="none"/>
    </w:rPr>
  </w:style>
  <w:style w:type="character" w:customStyle="1" w:styleId="Heading5Char">
    <w:name w:val="Heading 5 Char"/>
    <w:basedOn w:val="DefaultParagraphFont"/>
    <w:link w:val="Heading5"/>
    <w:uiPriority w:val="9"/>
    <w:rsid w:val="00AC5703"/>
    <w:rPr>
      <w:rFonts w:ascii="Verdana" w:eastAsia="Verdana" w:hAnsi="Verdana" w:cs="Verdana"/>
      <w:b/>
      <w:color w:val="000000"/>
      <w:kern w:val="0"/>
      <w:sz w:val="21"/>
      <w:lang w:eastAsia="en-GB"/>
      <w14:ligatures w14:val="none"/>
    </w:rPr>
  </w:style>
  <w:style w:type="character" w:customStyle="1" w:styleId="Heading6Char">
    <w:name w:val="Heading 6 Char"/>
    <w:basedOn w:val="DefaultParagraphFont"/>
    <w:link w:val="Heading6"/>
    <w:uiPriority w:val="9"/>
    <w:rsid w:val="00AC5703"/>
    <w:rPr>
      <w:rFonts w:ascii="Verdana" w:eastAsia="Verdana" w:hAnsi="Verdana" w:cs="Verdana"/>
      <w:b/>
      <w:color w:val="000000"/>
      <w:kern w:val="0"/>
      <w:sz w:val="21"/>
      <w:lang w:eastAsia="en-GB"/>
      <w14:ligatures w14:val="none"/>
    </w:rPr>
  </w:style>
  <w:style w:type="paragraph" w:customStyle="1" w:styleId="footnotedescription">
    <w:name w:val="footnote description"/>
    <w:next w:val="Normal"/>
    <w:link w:val="footnotedescriptionChar"/>
    <w:hidden/>
    <w:rsid w:val="00AC5703"/>
    <w:pPr>
      <w:spacing w:after="0"/>
    </w:pPr>
    <w:rPr>
      <w:rFonts w:ascii="Calibri" w:eastAsia="Calibri" w:hAnsi="Calibri" w:cs="Calibri"/>
      <w:color w:val="000000"/>
      <w:kern w:val="0"/>
      <w:sz w:val="20"/>
      <w:lang w:eastAsia="en-GB"/>
      <w14:ligatures w14:val="none"/>
    </w:rPr>
  </w:style>
  <w:style w:type="character" w:customStyle="1" w:styleId="footnotedescriptionChar">
    <w:name w:val="footnote description Char"/>
    <w:link w:val="footnotedescription"/>
    <w:rsid w:val="00AC5703"/>
    <w:rPr>
      <w:rFonts w:ascii="Calibri" w:eastAsia="Calibri" w:hAnsi="Calibri" w:cs="Calibri"/>
      <w:color w:val="000000"/>
      <w:kern w:val="0"/>
      <w:sz w:val="20"/>
      <w:lang w:eastAsia="en-GB"/>
      <w14:ligatures w14:val="none"/>
    </w:rPr>
  </w:style>
  <w:style w:type="paragraph" w:styleId="TOC1">
    <w:name w:val="toc 1"/>
    <w:hidden/>
    <w:uiPriority w:val="39"/>
    <w:rsid w:val="00AC5703"/>
    <w:pPr>
      <w:spacing w:after="195"/>
      <w:ind w:left="25" w:right="312" w:hanging="10"/>
    </w:pPr>
    <w:rPr>
      <w:rFonts w:ascii="Verdana" w:eastAsia="Verdana" w:hAnsi="Verdana" w:cs="Verdana"/>
      <w:color w:val="000000"/>
      <w:kern w:val="0"/>
      <w:sz w:val="20"/>
      <w:lang w:eastAsia="en-GB"/>
      <w14:ligatures w14:val="none"/>
    </w:rPr>
  </w:style>
  <w:style w:type="paragraph" w:styleId="TOC2">
    <w:name w:val="toc 2"/>
    <w:hidden/>
    <w:uiPriority w:val="39"/>
    <w:rsid w:val="00AC5703"/>
    <w:pPr>
      <w:spacing w:after="105"/>
      <w:ind w:left="309" w:right="312" w:hanging="10"/>
    </w:pPr>
    <w:rPr>
      <w:rFonts w:ascii="Verdana" w:eastAsia="Verdana" w:hAnsi="Verdana" w:cs="Verdana"/>
      <w:color w:val="000000"/>
      <w:kern w:val="0"/>
      <w:sz w:val="20"/>
      <w:lang w:eastAsia="en-GB"/>
      <w14:ligatures w14:val="none"/>
    </w:rPr>
  </w:style>
  <w:style w:type="paragraph" w:styleId="TOC3">
    <w:name w:val="toc 3"/>
    <w:hidden/>
    <w:uiPriority w:val="39"/>
    <w:rsid w:val="00AC5703"/>
    <w:pPr>
      <w:spacing w:after="105"/>
      <w:ind w:left="508" w:right="312" w:hanging="10"/>
    </w:pPr>
    <w:rPr>
      <w:rFonts w:ascii="Verdana" w:eastAsia="Verdana" w:hAnsi="Verdana" w:cs="Verdana"/>
      <w:color w:val="000000"/>
      <w:kern w:val="0"/>
      <w:sz w:val="20"/>
      <w:lang w:eastAsia="en-GB"/>
      <w14:ligatures w14:val="none"/>
    </w:rPr>
  </w:style>
  <w:style w:type="character" w:customStyle="1" w:styleId="footnotemark">
    <w:name w:val="footnote mark"/>
    <w:hidden/>
    <w:rsid w:val="00AC5703"/>
    <w:rPr>
      <w:rFonts w:ascii="Calibri" w:eastAsia="Calibri" w:hAnsi="Calibri" w:cs="Calibri"/>
      <w:color w:val="000000"/>
      <w:sz w:val="20"/>
      <w:vertAlign w:val="superscript"/>
    </w:rPr>
  </w:style>
  <w:style w:type="paragraph" w:styleId="Header">
    <w:name w:val="header"/>
    <w:basedOn w:val="Normal"/>
    <w:link w:val="HeaderChar"/>
    <w:uiPriority w:val="99"/>
    <w:unhideWhenUsed/>
    <w:rsid w:val="00AC57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703"/>
    <w:rPr>
      <w:rFonts w:ascii="Verdana" w:eastAsia="Verdana" w:hAnsi="Verdana" w:cs="Verdana"/>
      <w:color w:val="000000"/>
      <w:kern w:val="0"/>
      <w:sz w:val="21"/>
      <w:lang w:eastAsia="en-GB"/>
      <w14:ligatures w14:val="none"/>
    </w:rPr>
  </w:style>
  <w:style w:type="paragraph" w:styleId="Footer">
    <w:name w:val="footer"/>
    <w:basedOn w:val="Normal"/>
    <w:link w:val="FooterChar"/>
    <w:uiPriority w:val="99"/>
    <w:unhideWhenUsed/>
    <w:rsid w:val="00AC570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AC5703"/>
    <w:rPr>
      <w:rFonts w:eastAsiaTheme="minorEastAsia" w:cs="Times New Roman"/>
      <w:kern w:val="0"/>
      <w:lang w:val="en-US"/>
      <w14:ligatures w14:val="none"/>
    </w:rPr>
  </w:style>
  <w:style w:type="paragraph" w:styleId="NormalWeb">
    <w:name w:val="Normal (Web)"/>
    <w:basedOn w:val="Normal"/>
    <w:uiPriority w:val="99"/>
    <w:semiHidden/>
    <w:unhideWhenUsed/>
    <w:rsid w:val="00AC570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AC5703"/>
    <w:rPr>
      <w:color w:val="0563C1" w:themeColor="hyperlink"/>
      <w:u w:val="single"/>
    </w:rPr>
  </w:style>
  <w:style w:type="character" w:styleId="CommentReference">
    <w:name w:val="annotation reference"/>
    <w:basedOn w:val="DefaultParagraphFont"/>
    <w:uiPriority w:val="99"/>
    <w:semiHidden/>
    <w:unhideWhenUsed/>
    <w:rsid w:val="00AC5703"/>
    <w:rPr>
      <w:sz w:val="16"/>
      <w:szCs w:val="16"/>
    </w:rPr>
  </w:style>
  <w:style w:type="paragraph" w:styleId="CommentText">
    <w:name w:val="annotation text"/>
    <w:basedOn w:val="Normal"/>
    <w:link w:val="CommentTextChar"/>
    <w:uiPriority w:val="99"/>
    <w:unhideWhenUsed/>
    <w:rsid w:val="00AC5703"/>
    <w:pPr>
      <w:spacing w:line="240" w:lineRule="auto"/>
    </w:pPr>
    <w:rPr>
      <w:sz w:val="20"/>
      <w:szCs w:val="20"/>
    </w:rPr>
  </w:style>
  <w:style w:type="character" w:customStyle="1" w:styleId="CommentTextChar">
    <w:name w:val="Comment Text Char"/>
    <w:basedOn w:val="DefaultParagraphFont"/>
    <w:link w:val="CommentText"/>
    <w:uiPriority w:val="99"/>
    <w:rsid w:val="00AC5703"/>
    <w:rPr>
      <w:rFonts w:ascii="Verdana" w:eastAsia="Verdana" w:hAnsi="Verdana" w:cs="Verdana"/>
      <w:color w:val="000000"/>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AC5703"/>
    <w:rPr>
      <w:b/>
      <w:bCs/>
    </w:rPr>
  </w:style>
  <w:style w:type="character" w:customStyle="1" w:styleId="CommentSubjectChar">
    <w:name w:val="Comment Subject Char"/>
    <w:basedOn w:val="CommentTextChar"/>
    <w:link w:val="CommentSubject"/>
    <w:uiPriority w:val="99"/>
    <w:semiHidden/>
    <w:rsid w:val="00AC5703"/>
    <w:rPr>
      <w:rFonts w:ascii="Verdana" w:eastAsia="Verdana" w:hAnsi="Verdana" w:cs="Verdana"/>
      <w:b/>
      <w:bCs/>
      <w:color w:val="000000"/>
      <w:kern w:val="0"/>
      <w:sz w:val="20"/>
      <w:szCs w:val="20"/>
      <w:lang w:eastAsia="en-GB"/>
      <w14:ligatures w14:val="none"/>
    </w:rPr>
  </w:style>
  <w:style w:type="paragraph" w:styleId="BalloonText">
    <w:name w:val="Balloon Text"/>
    <w:basedOn w:val="Normal"/>
    <w:link w:val="BalloonTextChar"/>
    <w:uiPriority w:val="99"/>
    <w:semiHidden/>
    <w:unhideWhenUsed/>
    <w:rsid w:val="00AC5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703"/>
    <w:rPr>
      <w:rFonts w:ascii="Segoe UI" w:eastAsia="Verdana" w:hAnsi="Segoe UI" w:cs="Segoe UI"/>
      <w:color w:val="000000"/>
      <w:kern w:val="0"/>
      <w:sz w:val="18"/>
      <w:szCs w:val="18"/>
      <w:lang w:eastAsia="en-GB"/>
      <w14:ligatures w14:val="none"/>
    </w:rPr>
  </w:style>
  <w:style w:type="paragraph" w:styleId="ListParagraph">
    <w:name w:val="List Paragraph"/>
    <w:basedOn w:val="Normal"/>
    <w:uiPriority w:val="34"/>
    <w:qFormat/>
    <w:rsid w:val="00AC5703"/>
    <w:pPr>
      <w:ind w:left="720"/>
      <w:contextualSpacing/>
    </w:pPr>
  </w:style>
  <w:style w:type="paragraph" w:styleId="Revision">
    <w:name w:val="Revision"/>
    <w:hidden/>
    <w:uiPriority w:val="99"/>
    <w:semiHidden/>
    <w:rsid w:val="00AC5703"/>
    <w:pPr>
      <w:spacing w:after="0" w:line="240" w:lineRule="auto"/>
    </w:pPr>
    <w:rPr>
      <w:rFonts w:ascii="Verdana" w:eastAsia="Verdana" w:hAnsi="Verdana" w:cs="Verdana"/>
      <w:color w:val="000000"/>
      <w:kern w:val="0"/>
      <w:sz w:val="21"/>
      <w:lang w:eastAsia="en-GB"/>
      <w14:ligatures w14:val="none"/>
    </w:rPr>
  </w:style>
  <w:style w:type="table" w:styleId="TableGrid">
    <w:name w:val="Table Grid"/>
    <w:basedOn w:val="TableNormal"/>
    <w:uiPriority w:val="39"/>
    <w:rsid w:val="00AC570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s://www.legislation.gov.uk/ukpga/2015/2/section/21/enacted" TargetMode="External"/><Relationship Id="rId26" Type="http://schemas.openxmlformats.org/officeDocument/2006/relationships/hyperlink" Target="https://www.adass.org.uk/media/5414/adass-guidance-inter-authority-safeguarding-arrangements-june-2016.pdf" TargetMode="External"/><Relationship Id="rId39" Type="http://schemas.openxmlformats.org/officeDocument/2006/relationships/hyperlink" Target="https://www.cqc.org.uk/what-we-do/how-we-do-our-job/five-key-questions-we-ask" TargetMode="External"/><Relationship Id="rId21" Type="http://schemas.openxmlformats.org/officeDocument/2006/relationships/hyperlink" Target="https://www.legislation.gov.uk/ukpga/2007/19/section/1" TargetMode="External"/><Relationship Id="rId34" Type="http://schemas.openxmlformats.org/officeDocument/2006/relationships/hyperlink" Target="https://www.cqc.org.uk/what-we-do/how-we-do-our-job/registering-monitoring-services" TargetMode="External"/><Relationship Id="rId42" Type="http://schemas.openxmlformats.org/officeDocument/2006/relationships/hyperlink" Target="https://www.cqc.org.uk/what-we-do/how-we-do-our-job/taking-action" TargetMode="External"/><Relationship Id="rId47" Type="http://schemas.openxmlformats.org/officeDocument/2006/relationships/hyperlink" Target="https://www.cqc.org.uk/what-we-do/how-we-do-our-job/taking-action" TargetMode="External"/><Relationship Id="rId50" Type="http://schemas.openxmlformats.org/officeDocument/2006/relationships/hyperlink" Target="https://www.cqc.org.uk/what-we-do/how-we-do-our-job/fundamental-standards" TargetMode="External"/><Relationship Id="rId55" Type="http://schemas.openxmlformats.org/officeDocument/2006/relationships/footer" Target="footer6.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diagramColors" Target="diagrams/colors1.xml"/><Relationship Id="rId29" Type="http://schemas.openxmlformats.org/officeDocument/2006/relationships/hyperlink" Target="https://www.cqc.org.uk/what-we-do/how-we-do-our-job/registering-monitoring-services" TargetMode="External"/><Relationship Id="rId11" Type="http://schemas.openxmlformats.org/officeDocument/2006/relationships/footer" Target="footer3.xml"/><Relationship Id="rId24" Type="http://schemas.openxmlformats.org/officeDocument/2006/relationships/hyperlink" Target="https://www.adass.org.uk/media/5414/adass-guidance-inter-authority-safeguarding-arrangements-june-2016.pdf" TargetMode="External"/><Relationship Id="rId32" Type="http://schemas.openxmlformats.org/officeDocument/2006/relationships/hyperlink" Target="https://www.cqc.org.uk/what-we-do/how-we-do-our-job/registering-monitoring-services" TargetMode="External"/><Relationship Id="rId37" Type="http://schemas.openxmlformats.org/officeDocument/2006/relationships/hyperlink" Target="https://www.cqc.org.uk/what-we-do/how-we-do-our-job/five-key-questions-we-ask" TargetMode="External"/><Relationship Id="rId40" Type="http://schemas.openxmlformats.org/officeDocument/2006/relationships/hyperlink" Target="https://www.cqc.org.uk/what-we-do/how-we-do-our-job/five-key-questions-we-ask" TargetMode="External"/><Relationship Id="rId45" Type="http://schemas.openxmlformats.org/officeDocument/2006/relationships/hyperlink" Target="https://www.cqc.org.uk/what-we-do/how-we-do-our-job/taking-action" TargetMode="External"/><Relationship Id="rId53" Type="http://schemas.openxmlformats.org/officeDocument/2006/relationships/footer" Target="footer4.xml"/><Relationship Id="rId5" Type="http://schemas.openxmlformats.org/officeDocument/2006/relationships/footnotes" Target="footnotes.xml"/><Relationship Id="rId19" Type="http://schemas.openxmlformats.org/officeDocument/2006/relationships/hyperlink" Target="https://www.legislation.gov.uk/ukpga/2015/2/section/21/enacted"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diagramLayout" Target="diagrams/layout1.xml"/><Relationship Id="rId22" Type="http://schemas.openxmlformats.org/officeDocument/2006/relationships/hyperlink" Target="https://www.adass.org.uk/media/5414/adass-guidance-inter-authority-safeguarding-arrangements-june-2016.pdf" TargetMode="External"/><Relationship Id="rId27" Type="http://schemas.openxmlformats.org/officeDocument/2006/relationships/hyperlink" Target="https://www.adass.org.uk/media/5414/adass-guidance-inter-authority-safeguarding-arrangements-june-2016.pdf" TargetMode="External"/><Relationship Id="rId30" Type="http://schemas.openxmlformats.org/officeDocument/2006/relationships/hyperlink" Target="https://www.cqc.org.uk/what-we-do/how-we-do-our-job/registering-monitoring-services" TargetMode="External"/><Relationship Id="rId35" Type="http://schemas.openxmlformats.org/officeDocument/2006/relationships/hyperlink" Target="https://www.cqc.org.uk/what-we-do/how-we-do-our-job/registering-monitoring-services" TargetMode="External"/><Relationship Id="rId43" Type="http://schemas.openxmlformats.org/officeDocument/2006/relationships/hyperlink" Target="https://www.cqc.org.uk/what-we-do/how-we-do-our-job/taking-action" TargetMode="External"/><Relationship Id="rId48" Type="http://schemas.openxmlformats.org/officeDocument/2006/relationships/hyperlink" Target="http://www.cqc.org.uk/guidance-providers/regulations-enforcement/regulation-20-duty-candour" TargetMode="External"/><Relationship Id="rId56" Type="http://schemas.openxmlformats.org/officeDocument/2006/relationships/fontTable" Target="fontTable.xml"/><Relationship Id="rId8" Type="http://schemas.openxmlformats.org/officeDocument/2006/relationships/hyperlink" Target="http://www.saferbradford.co.uk/adults" TargetMode="External"/><Relationship Id="rId51" Type="http://schemas.openxmlformats.org/officeDocument/2006/relationships/hyperlink" Target="https://www.cqc.org.uk/what-we-do/how-we-do-our-job/safeguarding-people" TargetMode="External"/><Relationship Id="rId3" Type="http://schemas.openxmlformats.org/officeDocument/2006/relationships/settings" Target="settings.xml"/><Relationship Id="rId12" Type="http://schemas.openxmlformats.org/officeDocument/2006/relationships/hyperlink" Target="http://www.saferbradford.co.uk/adults" TargetMode="External"/><Relationship Id="rId17" Type="http://schemas.microsoft.com/office/2007/relationships/diagramDrawing" Target="diagrams/drawing1.xml"/><Relationship Id="rId25" Type="http://schemas.openxmlformats.org/officeDocument/2006/relationships/hyperlink" Target="https://www.adass.org.uk/media/5414/adass-guidance-inter-authority-safeguarding-arrangements-june-2016.pdf" TargetMode="External"/><Relationship Id="rId33" Type="http://schemas.openxmlformats.org/officeDocument/2006/relationships/hyperlink" Target="https://www.cqc.org.uk/what-we-do/how-we-do-our-job/registering-monitoring-services" TargetMode="External"/><Relationship Id="rId38" Type="http://schemas.openxmlformats.org/officeDocument/2006/relationships/hyperlink" Target="https://www.cqc.org.uk/what-we-do/how-we-do-our-job/five-key-questions-we-ask" TargetMode="External"/><Relationship Id="rId46" Type="http://schemas.openxmlformats.org/officeDocument/2006/relationships/hyperlink" Target="https://www.cqc.org.uk/what-we-do/how-we-do-our-job/taking-action" TargetMode="External"/><Relationship Id="rId20" Type="http://schemas.openxmlformats.org/officeDocument/2006/relationships/hyperlink" Target="https://www.legislation.gov.uk/ukpga/2007/19/section/1" TargetMode="External"/><Relationship Id="rId41" Type="http://schemas.openxmlformats.org/officeDocument/2006/relationships/hyperlink" Target="https://www.cqc.org.uk/what-we-do/how-we-do-our-job/five-key-questions-we-ask" TargetMode="External"/><Relationship Id="rId54"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diagramQuickStyle" Target="diagrams/quickStyle1.xml"/><Relationship Id="rId23" Type="http://schemas.openxmlformats.org/officeDocument/2006/relationships/hyperlink" Target="https://www.adass.org.uk/media/5414/adass-guidance-inter-authority-safeguarding-arrangements-june-2016.pdf" TargetMode="External"/><Relationship Id="rId28" Type="http://schemas.openxmlformats.org/officeDocument/2006/relationships/hyperlink" Target="https://www.adass.org.uk/media/5414/adass-guidance-inter-authority-safeguarding-arrangements-june-2016.pdf" TargetMode="External"/><Relationship Id="rId36" Type="http://schemas.openxmlformats.org/officeDocument/2006/relationships/hyperlink" Target="https://www.cqc.org.uk/what-we-do/how-we-do-our-job/five-key-questions-we-ask" TargetMode="External"/><Relationship Id="rId49" Type="http://schemas.openxmlformats.org/officeDocument/2006/relationships/hyperlink" Target="http://www.cqc.org.uk/guidance-providers/regulations-enforcement/regulation-20-duty-candour" TargetMode="External"/><Relationship Id="rId57"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hyperlink" Target="https://www.cqc.org.uk/what-we-do/how-we-do-our-job/registering-monitoring-services" TargetMode="External"/><Relationship Id="rId44" Type="http://schemas.openxmlformats.org/officeDocument/2006/relationships/hyperlink" Target="https://www.cqc.org.uk/what-we-do/how-we-do-our-job/taking-action" TargetMode="External"/><Relationship Id="rId52" Type="http://schemas.openxmlformats.org/officeDocument/2006/relationships/hyperlink" Target="https://www.cqc.org.uk/what-we-do/how-we-do-our-job/safeguarding-people"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02BA1A-B07F-4EA7-8B1D-425C3A4D5B1C}" type="doc">
      <dgm:prSet loTypeId="urn:microsoft.com/office/officeart/2005/8/layout/hProcess9" loCatId="process" qsTypeId="urn:microsoft.com/office/officeart/2005/8/quickstyle/simple1" qsCatId="simple" csTypeId="urn:microsoft.com/office/officeart/2005/8/colors/colorful1" csCatId="colorful" phldr="1"/>
      <dgm:spPr/>
      <dgm:t>
        <a:bodyPr/>
        <a:lstStyle/>
        <a:p>
          <a:endParaRPr lang="en-GB"/>
        </a:p>
      </dgm:t>
    </dgm:pt>
    <dgm:pt modelId="{BC406B13-EA82-40FD-BC2F-AA6448146E83}">
      <dgm:prSet phldrT="[Text]"/>
      <dgm:spPr/>
      <dgm:t>
        <a:bodyPr/>
        <a:lstStyle/>
        <a:p>
          <a:r>
            <a:rPr lang="en-GB"/>
            <a:t>Stage 3</a:t>
          </a:r>
        </a:p>
        <a:p>
          <a:r>
            <a:rPr lang="en-GB"/>
            <a:t>Planning and Review Meetings</a:t>
          </a:r>
        </a:p>
      </dgm:t>
    </dgm:pt>
    <dgm:pt modelId="{27FDDC39-8A1F-4A23-9A3D-FBD75ADDAEFD}" type="sibTrans" cxnId="{5AF3A333-7E16-41DE-8D3F-68DFD486C3F1}">
      <dgm:prSet/>
      <dgm:spPr/>
      <dgm:t>
        <a:bodyPr/>
        <a:lstStyle/>
        <a:p>
          <a:endParaRPr lang="en-GB"/>
        </a:p>
      </dgm:t>
    </dgm:pt>
    <dgm:pt modelId="{FE300FCD-5A26-4338-BB99-145B40985757}" type="parTrans" cxnId="{5AF3A333-7E16-41DE-8D3F-68DFD486C3F1}">
      <dgm:prSet/>
      <dgm:spPr/>
      <dgm:t>
        <a:bodyPr/>
        <a:lstStyle/>
        <a:p>
          <a:endParaRPr lang="en-GB"/>
        </a:p>
      </dgm:t>
    </dgm:pt>
    <dgm:pt modelId="{D83FE717-019E-4976-A363-0373B9C1DBA5}">
      <dgm:prSet phldrT="[Text]"/>
      <dgm:spPr/>
      <dgm:t>
        <a:bodyPr/>
        <a:lstStyle/>
        <a:p>
          <a:r>
            <a:rPr lang="en-GB"/>
            <a:t>Stage 2</a:t>
          </a:r>
        </a:p>
        <a:p>
          <a:r>
            <a:rPr lang="en-GB"/>
            <a:t>Screening and Initial Enquiries </a:t>
          </a:r>
        </a:p>
      </dgm:t>
    </dgm:pt>
    <dgm:pt modelId="{F62F42C6-00B2-4443-A473-CC2CC676BBC1}" type="sibTrans" cxnId="{EB47A5EB-778A-485E-A1AD-2467DA698DCB}">
      <dgm:prSet/>
      <dgm:spPr/>
      <dgm:t>
        <a:bodyPr/>
        <a:lstStyle/>
        <a:p>
          <a:endParaRPr lang="en-GB"/>
        </a:p>
      </dgm:t>
    </dgm:pt>
    <dgm:pt modelId="{9D61B2CE-1651-4F35-A80A-CBBD7E5A5C5D}" type="parTrans" cxnId="{EB47A5EB-778A-485E-A1AD-2467DA698DCB}">
      <dgm:prSet/>
      <dgm:spPr/>
      <dgm:t>
        <a:bodyPr/>
        <a:lstStyle/>
        <a:p>
          <a:endParaRPr lang="en-GB"/>
        </a:p>
      </dgm:t>
    </dgm:pt>
    <dgm:pt modelId="{F13C3896-8D7A-466C-A79C-1D8C1C362551}">
      <dgm:prSet phldrT="[Text]"/>
      <dgm:spPr/>
      <dgm:t>
        <a:bodyPr/>
        <a:lstStyle/>
        <a:p>
          <a:r>
            <a:rPr lang="en-GB"/>
            <a:t>Stage 1</a:t>
          </a:r>
        </a:p>
        <a:p>
          <a:r>
            <a:rPr lang="en-GB"/>
            <a:t>Referral</a:t>
          </a:r>
          <a:r>
            <a:rPr lang="en-GB" baseline="0"/>
            <a:t> submitted</a:t>
          </a:r>
          <a:endParaRPr lang="en-GB"/>
        </a:p>
      </dgm:t>
    </dgm:pt>
    <dgm:pt modelId="{695FDF2D-AEC8-46AA-96CA-28C7493526BC}" type="sibTrans" cxnId="{500027D0-C2D0-445C-9CDE-30B6C44EDC73}">
      <dgm:prSet/>
      <dgm:spPr/>
      <dgm:t>
        <a:bodyPr/>
        <a:lstStyle/>
        <a:p>
          <a:endParaRPr lang="en-GB"/>
        </a:p>
      </dgm:t>
    </dgm:pt>
    <dgm:pt modelId="{C0CCB388-D5AC-41F2-9214-8409B58AA08D}" type="parTrans" cxnId="{500027D0-C2D0-445C-9CDE-30B6C44EDC73}">
      <dgm:prSet/>
      <dgm:spPr/>
      <dgm:t>
        <a:bodyPr/>
        <a:lstStyle/>
        <a:p>
          <a:endParaRPr lang="en-GB"/>
        </a:p>
      </dgm:t>
    </dgm:pt>
    <dgm:pt modelId="{3B0DF898-4C2C-4ECD-8A14-94231BC3652E}">
      <dgm:prSet phldrT="[Text]"/>
      <dgm:spPr/>
      <dgm:t>
        <a:bodyPr/>
        <a:lstStyle/>
        <a:p>
          <a:r>
            <a:rPr lang="en-GB"/>
            <a:t>Stage 4</a:t>
          </a:r>
        </a:p>
        <a:p>
          <a:r>
            <a:rPr lang="en-GB"/>
            <a:t>Outcome Meeting</a:t>
          </a:r>
        </a:p>
      </dgm:t>
    </dgm:pt>
    <dgm:pt modelId="{CB7D268D-FDAB-4073-94CB-AFA7F1099D12}" type="parTrans" cxnId="{E1365F38-FC69-4080-AD05-892CB6961984}">
      <dgm:prSet/>
      <dgm:spPr/>
      <dgm:t>
        <a:bodyPr/>
        <a:lstStyle/>
        <a:p>
          <a:endParaRPr lang="en-GB"/>
        </a:p>
      </dgm:t>
    </dgm:pt>
    <dgm:pt modelId="{7EA19993-365B-42A4-8792-F25268B7147A}" type="sibTrans" cxnId="{E1365F38-FC69-4080-AD05-892CB6961984}">
      <dgm:prSet/>
      <dgm:spPr/>
      <dgm:t>
        <a:bodyPr/>
        <a:lstStyle/>
        <a:p>
          <a:endParaRPr lang="en-GB"/>
        </a:p>
      </dgm:t>
    </dgm:pt>
    <dgm:pt modelId="{CCDF919E-7C1E-4E06-A005-92E20C06AB6E}" type="pres">
      <dgm:prSet presAssocID="{3302BA1A-B07F-4EA7-8B1D-425C3A4D5B1C}" presName="CompostProcess" presStyleCnt="0">
        <dgm:presLayoutVars>
          <dgm:dir/>
          <dgm:resizeHandles val="exact"/>
        </dgm:presLayoutVars>
      </dgm:prSet>
      <dgm:spPr/>
    </dgm:pt>
    <dgm:pt modelId="{B78132C4-FE6A-4D41-BCAB-24463D5E1C94}" type="pres">
      <dgm:prSet presAssocID="{3302BA1A-B07F-4EA7-8B1D-425C3A4D5B1C}" presName="arrow" presStyleLbl="bgShp" presStyleIdx="0" presStyleCnt="1" custLinFactNeighborX="688" custLinFactNeighborY="-8088"/>
      <dgm:spPr/>
    </dgm:pt>
    <dgm:pt modelId="{C3557DF3-0DC3-4800-8A5B-82A2238E4F70}" type="pres">
      <dgm:prSet presAssocID="{3302BA1A-B07F-4EA7-8B1D-425C3A4D5B1C}" presName="linearProcess" presStyleCnt="0"/>
      <dgm:spPr/>
    </dgm:pt>
    <dgm:pt modelId="{CC245632-55A4-40A2-844A-4D0FBB78616F}" type="pres">
      <dgm:prSet presAssocID="{F13C3896-8D7A-466C-A79C-1D8C1C362551}" presName="textNode" presStyleLbl="node1" presStyleIdx="0" presStyleCnt="4" custScaleX="64558" custScaleY="108631" custLinFactX="1852" custLinFactNeighborX="100000" custLinFactNeighborY="0">
        <dgm:presLayoutVars>
          <dgm:bulletEnabled val="1"/>
        </dgm:presLayoutVars>
      </dgm:prSet>
      <dgm:spPr/>
    </dgm:pt>
    <dgm:pt modelId="{3CC909A9-630C-48CF-A88F-CC2E69758585}" type="pres">
      <dgm:prSet presAssocID="{695FDF2D-AEC8-46AA-96CA-28C7493526BC}" presName="sibTrans" presStyleCnt="0"/>
      <dgm:spPr/>
    </dgm:pt>
    <dgm:pt modelId="{7810385D-4F12-4C77-9692-0EB73811EEFE}" type="pres">
      <dgm:prSet presAssocID="{D83FE717-019E-4976-A363-0373B9C1DBA5}" presName="textNode" presStyleLbl="node1" presStyleIdx="1" presStyleCnt="4" custScaleX="65924" custScaleY="108633" custLinFactX="3232" custLinFactNeighborX="100000" custLinFactNeighborY="2233">
        <dgm:presLayoutVars>
          <dgm:bulletEnabled val="1"/>
        </dgm:presLayoutVars>
      </dgm:prSet>
      <dgm:spPr/>
    </dgm:pt>
    <dgm:pt modelId="{C1AC6C72-757E-4E1B-81E0-301F9BE9D399}" type="pres">
      <dgm:prSet presAssocID="{F62F42C6-00B2-4443-A473-CC2CC676BBC1}" presName="sibTrans" presStyleCnt="0"/>
      <dgm:spPr/>
    </dgm:pt>
    <dgm:pt modelId="{ACFBA7D8-7D33-48E8-A5BA-F2C05ED8CC3F}" type="pres">
      <dgm:prSet presAssocID="{BC406B13-EA82-40FD-BC2F-AA6448146E83}" presName="textNode" presStyleLbl="node1" presStyleIdx="2" presStyleCnt="4" custScaleX="65498" custScaleY="105654" custLinFactX="2864" custLinFactNeighborX="100000" custLinFactNeighborY="2976">
        <dgm:presLayoutVars>
          <dgm:bulletEnabled val="1"/>
        </dgm:presLayoutVars>
      </dgm:prSet>
      <dgm:spPr/>
    </dgm:pt>
    <dgm:pt modelId="{2155EC4B-C451-447B-96F0-E672AA479DC9}" type="pres">
      <dgm:prSet presAssocID="{27FDDC39-8A1F-4A23-9A3D-FBD75ADDAEFD}" presName="sibTrans" presStyleCnt="0"/>
      <dgm:spPr/>
    </dgm:pt>
    <dgm:pt modelId="{B83F3845-C664-4AC1-A243-18829AF8CA79}" type="pres">
      <dgm:prSet presAssocID="{3B0DF898-4C2C-4ECD-8A14-94231BC3652E}" presName="textNode" presStyleLbl="node1" presStyleIdx="3" presStyleCnt="4" custScaleX="63781" custScaleY="102678" custLinFactX="10862" custLinFactNeighborX="100000" custLinFactNeighborY="2976">
        <dgm:presLayoutVars>
          <dgm:bulletEnabled val="1"/>
        </dgm:presLayoutVars>
      </dgm:prSet>
      <dgm:spPr/>
    </dgm:pt>
  </dgm:ptLst>
  <dgm:cxnLst>
    <dgm:cxn modelId="{5AF3A333-7E16-41DE-8D3F-68DFD486C3F1}" srcId="{3302BA1A-B07F-4EA7-8B1D-425C3A4D5B1C}" destId="{BC406B13-EA82-40FD-BC2F-AA6448146E83}" srcOrd="2" destOrd="0" parTransId="{FE300FCD-5A26-4338-BB99-145B40985757}" sibTransId="{27FDDC39-8A1F-4A23-9A3D-FBD75ADDAEFD}"/>
    <dgm:cxn modelId="{E1365F38-FC69-4080-AD05-892CB6961984}" srcId="{3302BA1A-B07F-4EA7-8B1D-425C3A4D5B1C}" destId="{3B0DF898-4C2C-4ECD-8A14-94231BC3652E}" srcOrd="3" destOrd="0" parTransId="{CB7D268D-FDAB-4073-94CB-AFA7F1099D12}" sibTransId="{7EA19993-365B-42A4-8792-F25268B7147A}"/>
    <dgm:cxn modelId="{E612987B-F4C3-435F-83CB-8BC35D487225}" type="presOf" srcId="{D83FE717-019E-4976-A363-0373B9C1DBA5}" destId="{7810385D-4F12-4C77-9692-0EB73811EEFE}" srcOrd="0" destOrd="0" presId="urn:microsoft.com/office/officeart/2005/8/layout/hProcess9"/>
    <dgm:cxn modelId="{7466C1BF-BB8B-496E-8C5B-FFEDB705FF90}" type="presOf" srcId="{BC406B13-EA82-40FD-BC2F-AA6448146E83}" destId="{ACFBA7D8-7D33-48E8-A5BA-F2C05ED8CC3F}" srcOrd="0" destOrd="0" presId="urn:microsoft.com/office/officeart/2005/8/layout/hProcess9"/>
    <dgm:cxn modelId="{500027D0-C2D0-445C-9CDE-30B6C44EDC73}" srcId="{3302BA1A-B07F-4EA7-8B1D-425C3A4D5B1C}" destId="{F13C3896-8D7A-466C-A79C-1D8C1C362551}" srcOrd="0" destOrd="0" parTransId="{C0CCB388-D5AC-41F2-9214-8409B58AA08D}" sibTransId="{695FDF2D-AEC8-46AA-96CA-28C7493526BC}"/>
    <dgm:cxn modelId="{5F83A1D4-0FEA-458C-9AEC-72BDB8C46F47}" type="presOf" srcId="{F13C3896-8D7A-466C-A79C-1D8C1C362551}" destId="{CC245632-55A4-40A2-844A-4D0FBB78616F}" srcOrd="0" destOrd="0" presId="urn:microsoft.com/office/officeart/2005/8/layout/hProcess9"/>
    <dgm:cxn modelId="{EB47A5EB-778A-485E-A1AD-2467DA698DCB}" srcId="{3302BA1A-B07F-4EA7-8B1D-425C3A4D5B1C}" destId="{D83FE717-019E-4976-A363-0373B9C1DBA5}" srcOrd="1" destOrd="0" parTransId="{9D61B2CE-1651-4F35-A80A-CBBD7E5A5C5D}" sibTransId="{F62F42C6-00B2-4443-A473-CC2CC676BBC1}"/>
    <dgm:cxn modelId="{BA460AF0-7BFB-4286-AADD-A978DFA49263}" type="presOf" srcId="{3302BA1A-B07F-4EA7-8B1D-425C3A4D5B1C}" destId="{CCDF919E-7C1E-4E06-A005-92E20C06AB6E}" srcOrd="0" destOrd="0" presId="urn:microsoft.com/office/officeart/2005/8/layout/hProcess9"/>
    <dgm:cxn modelId="{82E45BF6-5253-4DA8-A4BE-4BBE5476F460}" type="presOf" srcId="{3B0DF898-4C2C-4ECD-8A14-94231BC3652E}" destId="{B83F3845-C664-4AC1-A243-18829AF8CA79}" srcOrd="0" destOrd="0" presId="urn:microsoft.com/office/officeart/2005/8/layout/hProcess9"/>
    <dgm:cxn modelId="{7A35F22C-82CF-481D-8E41-F45DBC6E5382}" type="presParOf" srcId="{CCDF919E-7C1E-4E06-A005-92E20C06AB6E}" destId="{B78132C4-FE6A-4D41-BCAB-24463D5E1C94}" srcOrd="0" destOrd="0" presId="urn:microsoft.com/office/officeart/2005/8/layout/hProcess9"/>
    <dgm:cxn modelId="{2C2F5796-6D4C-45FE-90C1-C87A4D6AC3DC}" type="presParOf" srcId="{CCDF919E-7C1E-4E06-A005-92E20C06AB6E}" destId="{C3557DF3-0DC3-4800-8A5B-82A2238E4F70}" srcOrd="1" destOrd="0" presId="urn:microsoft.com/office/officeart/2005/8/layout/hProcess9"/>
    <dgm:cxn modelId="{DB80AF19-1614-460C-B10E-3F4A2E13EBE1}" type="presParOf" srcId="{C3557DF3-0DC3-4800-8A5B-82A2238E4F70}" destId="{CC245632-55A4-40A2-844A-4D0FBB78616F}" srcOrd="0" destOrd="0" presId="urn:microsoft.com/office/officeart/2005/8/layout/hProcess9"/>
    <dgm:cxn modelId="{310E810A-B5DF-40FC-B145-46E24C6382DA}" type="presParOf" srcId="{C3557DF3-0DC3-4800-8A5B-82A2238E4F70}" destId="{3CC909A9-630C-48CF-A88F-CC2E69758585}" srcOrd="1" destOrd="0" presId="urn:microsoft.com/office/officeart/2005/8/layout/hProcess9"/>
    <dgm:cxn modelId="{1D2E1C61-0619-4682-9BFF-492C94886FDE}" type="presParOf" srcId="{C3557DF3-0DC3-4800-8A5B-82A2238E4F70}" destId="{7810385D-4F12-4C77-9692-0EB73811EEFE}" srcOrd="2" destOrd="0" presId="urn:microsoft.com/office/officeart/2005/8/layout/hProcess9"/>
    <dgm:cxn modelId="{9BF8D200-7392-430A-9C04-17891EF5ADC5}" type="presParOf" srcId="{C3557DF3-0DC3-4800-8A5B-82A2238E4F70}" destId="{C1AC6C72-757E-4E1B-81E0-301F9BE9D399}" srcOrd="3" destOrd="0" presId="urn:microsoft.com/office/officeart/2005/8/layout/hProcess9"/>
    <dgm:cxn modelId="{5A3ABC2E-B419-44CA-BAB3-9AC8BEFFC625}" type="presParOf" srcId="{C3557DF3-0DC3-4800-8A5B-82A2238E4F70}" destId="{ACFBA7D8-7D33-48E8-A5BA-F2C05ED8CC3F}" srcOrd="4" destOrd="0" presId="urn:microsoft.com/office/officeart/2005/8/layout/hProcess9"/>
    <dgm:cxn modelId="{D027836C-3894-4791-B8FB-5A1968C60DD4}" type="presParOf" srcId="{C3557DF3-0DC3-4800-8A5B-82A2238E4F70}" destId="{2155EC4B-C451-447B-96F0-E672AA479DC9}" srcOrd="5" destOrd="0" presId="urn:microsoft.com/office/officeart/2005/8/layout/hProcess9"/>
    <dgm:cxn modelId="{46B4FA32-B60D-4042-A46F-C29FCE3B3EE1}" type="presParOf" srcId="{C3557DF3-0DC3-4800-8A5B-82A2238E4F70}" destId="{B83F3845-C664-4AC1-A243-18829AF8CA79}" srcOrd="6" destOrd="0" presId="urn:microsoft.com/office/officeart/2005/8/layout/hProcess9"/>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8132C4-FE6A-4D41-BCAB-24463D5E1C94}">
      <dsp:nvSpPr>
        <dsp:cNvPr id="0" name=""/>
        <dsp:cNvSpPr/>
      </dsp:nvSpPr>
      <dsp:spPr>
        <a:xfrm>
          <a:off x="395049" y="0"/>
          <a:ext cx="4153376" cy="2590800"/>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C245632-55A4-40A2-844A-4D0FBB78616F}">
      <dsp:nvSpPr>
        <dsp:cNvPr id="0" name=""/>
        <dsp:cNvSpPr/>
      </dsp:nvSpPr>
      <dsp:spPr>
        <a:xfrm>
          <a:off x="385110" y="732517"/>
          <a:ext cx="1015359" cy="1125764"/>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Stage 1</a:t>
          </a:r>
        </a:p>
        <a:p>
          <a:pPr marL="0" lvl="0" indent="0" algn="ctr" defTabSz="577850">
            <a:lnSpc>
              <a:spcPct val="90000"/>
            </a:lnSpc>
            <a:spcBef>
              <a:spcPct val="0"/>
            </a:spcBef>
            <a:spcAft>
              <a:spcPct val="35000"/>
            </a:spcAft>
            <a:buNone/>
          </a:pPr>
          <a:r>
            <a:rPr lang="en-GB" sz="1300" kern="1200"/>
            <a:t>Referral</a:t>
          </a:r>
          <a:r>
            <a:rPr lang="en-GB" sz="1300" kern="1200" baseline="0"/>
            <a:t> submitted</a:t>
          </a:r>
          <a:endParaRPr lang="en-GB" sz="1300" kern="1200"/>
        </a:p>
      </dsp:txBody>
      <dsp:txXfrm>
        <a:off x="434676" y="782083"/>
        <a:ext cx="916227" cy="1026632"/>
      </dsp:txXfrm>
    </dsp:sp>
    <dsp:sp modelId="{7810385D-4F12-4C77-9692-0EB73811EEFE}">
      <dsp:nvSpPr>
        <dsp:cNvPr id="0" name=""/>
        <dsp:cNvSpPr/>
      </dsp:nvSpPr>
      <dsp:spPr>
        <a:xfrm>
          <a:off x="1511049" y="755648"/>
          <a:ext cx="1036843" cy="1125785"/>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Stage 2</a:t>
          </a:r>
        </a:p>
        <a:p>
          <a:pPr marL="0" lvl="0" indent="0" algn="ctr" defTabSz="577850">
            <a:lnSpc>
              <a:spcPct val="90000"/>
            </a:lnSpc>
            <a:spcBef>
              <a:spcPct val="0"/>
            </a:spcBef>
            <a:spcAft>
              <a:spcPct val="35000"/>
            </a:spcAft>
            <a:buNone/>
          </a:pPr>
          <a:r>
            <a:rPr lang="en-GB" sz="1300" kern="1200"/>
            <a:t>Screening and Initial Enquiries </a:t>
          </a:r>
        </a:p>
      </dsp:txBody>
      <dsp:txXfrm>
        <a:off x="1561664" y="806263"/>
        <a:ext cx="935613" cy="1024555"/>
      </dsp:txXfrm>
    </dsp:sp>
    <dsp:sp modelId="{ACFBA7D8-7D33-48E8-A5BA-F2C05ED8CC3F}">
      <dsp:nvSpPr>
        <dsp:cNvPr id="0" name=""/>
        <dsp:cNvSpPr/>
      </dsp:nvSpPr>
      <dsp:spPr>
        <a:xfrm>
          <a:off x="2630979" y="778784"/>
          <a:ext cx="1030143" cy="1094913"/>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Stage 3</a:t>
          </a:r>
        </a:p>
        <a:p>
          <a:pPr marL="0" lvl="0" indent="0" algn="ctr" defTabSz="577850">
            <a:lnSpc>
              <a:spcPct val="90000"/>
            </a:lnSpc>
            <a:spcBef>
              <a:spcPct val="0"/>
            </a:spcBef>
            <a:spcAft>
              <a:spcPct val="35000"/>
            </a:spcAft>
            <a:buNone/>
          </a:pPr>
          <a:r>
            <a:rPr lang="en-GB" sz="1300" kern="1200"/>
            <a:t>Planning and Review Meetings</a:t>
          </a:r>
        </a:p>
      </dsp:txBody>
      <dsp:txXfrm>
        <a:off x="2681266" y="829071"/>
        <a:ext cx="929569" cy="994339"/>
      </dsp:txXfrm>
    </dsp:sp>
    <dsp:sp modelId="{B83F3845-C664-4AC1-A243-18829AF8CA79}">
      <dsp:nvSpPr>
        <dsp:cNvPr id="0" name=""/>
        <dsp:cNvSpPr/>
      </dsp:nvSpPr>
      <dsp:spPr>
        <a:xfrm>
          <a:off x="3875789" y="794204"/>
          <a:ext cx="1003138" cy="1064072"/>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Stage 4</a:t>
          </a:r>
        </a:p>
        <a:p>
          <a:pPr marL="0" lvl="0" indent="0" algn="ctr" defTabSz="577850">
            <a:lnSpc>
              <a:spcPct val="90000"/>
            </a:lnSpc>
            <a:spcBef>
              <a:spcPct val="0"/>
            </a:spcBef>
            <a:spcAft>
              <a:spcPct val="35000"/>
            </a:spcAft>
            <a:buNone/>
          </a:pPr>
          <a:r>
            <a:rPr lang="en-GB" sz="1300" kern="1200"/>
            <a:t>Outcome Meeting</a:t>
          </a:r>
        </a:p>
      </dsp:txBody>
      <dsp:txXfrm>
        <a:off x="3924758" y="843173"/>
        <a:ext cx="905200" cy="96613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4256</Words>
  <Characters>24845</Characters>
  <Application>Microsoft Office Word</Application>
  <DocSecurity>0</DocSecurity>
  <Lines>637</Lines>
  <Paragraphs>194</Paragraphs>
  <ScaleCrop>false</ScaleCrop>
  <HeadingPairs>
    <vt:vector size="2" baseType="variant">
      <vt:variant>
        <vt:lpstr>Title</vt:lpstr>
      </vt:variant>
      <vt:variant>
        <vt:i4>1</vt:i4>
      </vt:variant>
    </vt:vector>
  </HeadingPairs>
  <TitlesOfParts>
    <vt:vector size="1" baseType="lpstr">
      <vt:lpstr/>
    </vt:vector>
  </TitlesOfParts>
  <Company>City of Bradford Metropolitan Council</Company>
  <LinksUpToDate>false</LinksUpToDate>
  <CharactersWithSpaces>29385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Studzinski</dc:creator>
  <cp:keywords/>
  <dc:description/>
  <cp:lastModifiedBy>Helen Khan</cp:lastModifiedBy>
  <cp:revision>14</cp:revision>
  <dcterms:created xsi:type="dcterms:W3CDTF">2024-02-12T10:02:00Z</dcterms:created>
  <dcterms:modified xsi:type="dcterms:W3CDTF">2024-02-12T11:57:00Z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a1fa537d4cfa044a7cfe4b41393cc575055cbdb1d63ae90e12e81b042ca83b80</vt:lpwstr>
  </property>
</Properties>
</file>