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F09C" w14:textId="77777777" w:rsidR="0059695F" w:rsidRDefault="002D535B">
      <w:r>
        <w:t>LONE WORKING POLICY applicable to:</w:t>
      </w:r>
    </w:p>
    <w:p w14:paraId="25E886E9" w14:textId="46BF8EEC" w:rsidR="002D535B" w:rsidRDefault="002D535B">
      <w:r>
        <w:t>Adult Care</w:t>
      </w:r>
      <w:r w:rsidR="008845A1">
        <w:t xml:space="preserve"> &amp; Ops</w:t>
      </w:r>
    </w:p>
    <w:p w14:paraId="648C643F" w14:textId="5B219440" w:rsidR="002D535B" w:rsidRDefault="008845A1">
      <w:r>
        <w:t xml:space="preserve">LD &amp; </w:t>
      </w:r>
      <w:r w:rsidR="002D535B">
        <w:t>Mental Health</w:t>
      </w:r>
    </w:p>
    <w:p w14:paraId="78EEA94A" w14:textId="5351565F" w:rsidR="002D535B" w:rsidRDefault="00021479">
      <w:r>
        <w:t>F&amp;C</w:t>
      </w:r>
    </w:p>
    <w:p w14:paraId="76E16501" w14:textId="77777777" w:rsidR="00CC1AB1" w:rsidRDefault="00CC1AB1"/>
    <w:p w14:paraId="3FECD192" w14:textId="77777777" w:rsidR="00CC1AB1" w:rsidRPr="002C00FB" w:rsidRDefault="00CC1AB1">
      <w:r w:rsidRPr="002C00FB">
        <w:t>Policy statement</w:t>
      </w:r>
    </w:p>
    <w:p w14:paraId="7B30B1C4" w14:textId="1DD15779" w:rsidR="00CC1AB1" w:rsidRPr="002C00FB" w:rsidRDefault="00CC1AB1" w:rsidP="002D535B">
      <w:pPr>
        <w:jc w:val="both"/>
      </w:pPr>
      <w:r w:rsidRPr="002C00FB">
        <w:t>This policy is designed to ensure that no-one experiences harm to their physical and psychological wellbeing from the actions of the customers and clients that they work with</w:t>
      </w:r>
      <w:r w:rsidR="0068655B">
        <w:t>,</w:t>
      </w:r>
      <w:r w:rsidRPr="002C00FB">
        <w:t xml:space="preserve"> to the extent that such harm is foreseeable and </w:t>
      </w:r>
      <w:r w:rsidR="00C163A0" w:rsidRPr="002C00FB">
        <w:t>avoidable</w:t>
      </w:r>
      <w:r w:rsidRPr="002C00FB">
        <w:t>.</w:t>
      </w:r>
    </w:p>
    <w:p w14:paraId="1620A358" w14:textId="77777777" w:rsidR="00C171C5" w:rsidRPr="002C00FB" w:rsidRDefault="00CC1AB1" w:rsidP="002D535B">
      <w:pPr>
        <w:jc w:val="both"/>
      </w:pPr>
      <w:r w:rsidRPr="002C00FB">
        <w:t>The nature of our work is such that we will sometimes encounter anger and other emotional reactions to the services we provide</w:t>
      </w:r>
      <w:r w:rsidR="00C171C5" w:rsidRPr="002C00FB">
        <w:t xml:space="preserve">. Working alone may increase the potential of this leading to personal safety risks through violence and aggression, and so lone working will only occur where a risk assessment has deemed </w:t>
      </w:r>
      <w:r w:rsidR="002D535B" w:rsidRPr="002C00FB">
        <w:t>it</w:t>
      </w:r>
      <w:r w:rsidR="00C171C5" w:rsidRPr="002C00FB">
        <w:t xml:space="preserve"> to be a safe working practice.</w:t>
      </w:r>
    </w:p>
    <w:p w14:paraId="7D27133F" w14:textId="77777777" w:rsidR="00C171C5" w:rsidRPr="002C00FB" w:rsidRDefault="00C171C5" w:rsidP="002D535B">
      <w:pPr>
        <w:jc w:val="both"/>
      </w:pPr>
      <w:r w:rsidRPr="002C00FB">
        <w:t>The risk assessment will set out the control measures to be adopted for that work situation.</w:t>
      </w:r>
      <w:r w:rsidR="00D37D0A" w:rsidRPr="002C00FB">
        <w:t xml:space="preserve"> All employees must adhere to all of the control measures that have been set. Managers must regularly check that this is occurring and must address any instances of non-compliance. </w:t>
      </w:r>
    </w:p>
    <w:p w14:paraId="5F1A6580" w14:textId="77777777" w:rsidR="00C171C5" w:rsidRPr="002C00FB" w:rsidRDefault="00F067CA" w:rsidP="002D535B">
      <w:pPr>
        <w:jc w:val="both"/>
      </w:pPr>
      <w:r w:rsidRPr="002C00FB">
        <w:t>A constant feature of all lone working risk assessments is to be the provision of suitable training for employees that includes the skills to recognise danger and to be able to take suitable action to avoid harm. This training will be repeated and updated at regular intervals.</w:t>
      </w:r>
    </w:p>
    <w:p w14:paraId="12B4C508" w14:textId="77777777" w:rsidR="00F067CA" w:rsidRPr="002C00FB" w:rsidRDefault="00F067CA" w:rsidP="002D535B">
      <w:pPr>
        <w:jc w:val="both"/>
      </w:pPr>
      <w:r w:rsidRPr="002C00FB">
        <w:t xml:space="preserve">It is foreseeable that despite all attempts to avoid and mitigate personal safety risks, there </w:t>
      </w:r>
      <w:r w:rsidR="00E44A96" w:rsidRPr="002C00FB">
        <w:t>will</w:t>
      </w:r>
      <w:r w:rsidRPr="002C00FB">
        <w:t xml:space="preserve"> be occasions when staff find themselves in situations where their safety, or that of others, is being </w:t>
      </w:r>
      <w:r w:rsidR="00E44A96" w:rsidRPr="002C00FB">
        <w:t>threatened</w:t>
      </w:r>
      <w:r w:rsidRPr="002C00FB">
        <w:t>. In all such instances</w:t>
      </w:r>
      <w:r w:rsidR="00E44A96" w:rsidRPr="002C00FB">
        <w:t>,</w:t>
      </w:r>
      <w:r w:rsidRPr="002C00FB">
        <w:t xml:space="preserve"> the employee </w:t>
      </w:r>
      <w:r w:rsidR="002D535B" w:rsidRPr="002C00FB">
        <w:t>must</w:t>
      </w:r>
      <w:r w:rsidRPr="002C00FB">
        <w:t xml:space="preserve"> suspend </w:t>
      </w:r>
      <w:r w:rsidR="00E44A96" w:rsidRPr="002C00FB">
        <w:t xml:space="preserve">their work and seek assistance or protection. For this purpose, all lone working employees will be provided with a mobile device capable of sending an emergency signal and all teams will have a </w:t>
      </w:r>
      <w:r w:rsidR="002D535B" w:rsidRPr="002C00FB">
        <w:t>rehearsed</w:t>
      </w:r>
      <w:r w:rsidR="00E44A96" w:rsidRPr="002C00FB">
        <w:t xml:space="preserve"> plan </w:t>
      </w:r>
      <w:r w:rsidR="002D535B" w:rsidRPr="002C00FB">
        <w:t xml:space="preserve">capable of responding appropriately </w:t>
      </w:r>
      <w:r w:rsidR="00E44A96" w:rsidRPr="002C00FB">
        <w:t>to provide help or summon emergency services.</w:t>
      </w:r>
    </w:p>
    <w:p w14:paraId="3BF77C1A" w14:textId="77777777" w:rsidR="002D535B" w:rsidRPr="002C00FB" w:rsidRDefault="00E44A96" w:rsidP="002D535B">
      <w:pPr>
        <w:jc w:val="both"/>
      </w:pPr>
      <w:r w:rsidRPr="002C00FB">
        <w:t xml:space="preserve">No violence or aggression to staff is acceptable. All instances of such must be reported and the manager must conduct a full investigation </w:t>
      </w:r>
      <w:r w:rsidR="002D535B" w:rsidRPr="002C00FB">
        <w:t xml:space="preserve">and take </w:t>
      </w:r>
      <w:r w:rsidRPr="002C00FB">
        <w:t xml:space="preserve">actions to reduce the likelihood </w:t>
      </w:r>
      <w:r w:rsidR="002D535B" w:rsidRPr="002C00FB">
        <w:t>o</w:t>
      </w:r>
      <w:r w:rsidRPr="002C00FB">
        <w:t>f any recurrence</w:t>
      </w:r>
      <w:r w:rsidR="002D535B" w:rsidRPr="002C00FB">
        <w:t>. The police will be notified in all cases in which an offence has occurred.</w:t>
      </w:r>
    </w:p>
    <w:p w14:paraId="2060D421" w14:textId="77777777" w:rsidR="00E44A96" w:rsidRDefault="002D535B" w:rsidP="002D535B">
      <w:pPr>
        <w:jc w:val="both"/>
      </w:pPr>
      <w:r w:rsidRPr="002C00FB">
        <w:t>The council will provide support to any victim of violence or aggression through its management system and the services available through its occupational health service.</w:t>
      </w:r>
    </w:p>
    <w:p w14:paraId="3DB6B1EE" w14:textId="77777777" w:rsidR="00CC1AB1" w:rsidRDefault="00253893">
      <w:r w:rsidRPr="00CB22E1">
        <w:rPr>
          <w:highlight w:val="yellow"/>
        </w:rPr>
        <w:t>Signed : Director 1, Director 2, Director 3</w:t>
      </w:r>
    </w:p>
    <w:p w14:paraId="24D4DD4A" w14:textId="77777777" w:rsidR="009B7A77" w:rsidRDefault="009B7A77"/>
    <w:p w14:paraId="153A33F5" w14:textId="77777777" w:rsidR="009B7A77" w:rsidRDefault="009B7A77">
      <w:r>
        <w:t>The key components of the policy statement above are:</w:t>
      </w:r>
    </w:p>
    <w:p w14:paraId="74E7E9D6" w14:textId="77777777" w:rsidR="009B7A77" w:rsidRDefault="009B7A77" w:rsidP="009B7A77">
      <w:pPr>
        <w:pStyle w:val="ListParagraph"/>
        <w:numPr>
          <w:ilvl w:val="0"/>
          <w:numId w:val="3"/>
        </w:numPr>
      </w:pPr>
      <w:r>
        <w:t>Risk assessment</w:t>
      </w:r>
    </w:p>
    <w:p w14:paraId="00029A8D" w14:textId="77777777" w:rsidR="009B7A77" w:rsidRDefault="009B7A77" w:rsidP="009B7A77">
      <w:pPr>
        <w:pStyle w:val="ListParagraph"/>
        <w:numPr>
          <w:ilvl w:val="0"/>
          <w:numId w:val="3"/>
        </w:numPr>
      </w:pPr>
      <w:r>
        <w:t xml:space="preserve">Training </w:t>
      </w:r>
    </w:p>
    <w:p w14:paraId="7EEFC499" w14:textId="20FB4097" w:rsidR="009B7A77" w:rsidRDefault="00484809" w:rsidP="009B7A77">
      <w:pPr>
        <w:pStyle w:val="ListParagraph"/>
        <w:numPr>
          <w:ilvl w:val="0"/>
          <w:numId w:val="3"/>
        </w:numPr>
      </w:pPr>
      <w:r>
        <w:t>Tracking movements, m</w:t>
      </w:r>
      <w:r w:rsidR="009B7A77">
        <w:t>obile communication</w:t>
      </w:r>
      <w:r w:rsidR="00386616">
        <w:t>,</w:t>
      </w:r>
      <w:r w:rsidR="009B7A77">
        <w:t xml:space="preserve"> and action</w:t>
      </w:r>
      <w:r w:rsidR="00F34AAA">
        <w:t xml:space="preserve"> in event of concern</w:t>
      </w:r>
    </w:p>
    <w:p w14:paraId="4F561652" w14:textId="77777777" w:rsidR="009B7A77" w:rsidRDefault="009B7A77" w:rsidP="009B7A77">
      <w:r>
        <w:t>Details of each of these are set out below and must be applied in all lone working circumstances.</w:t>
      </w:r>
    </w:p>
    <w:p w14:paraId="34A32F6A" w14:textId="77777777" w:rsidR="00CC1AB1" w:rsidRDefault="00CC1AB1"/>
    <w:p w14:paraId="735ED75D" w14:textId="77777777" w:rsidR="009B7A77" w:rsidRPr="00DC27E1" w:rsidRDefault="009B7A77" w:rsidP="00F76480">
      <w:pPr>
        <w:jc w:val="both"/>
        <w:rPr>
          <w:b/>
        </w:rPr>
      </w:pPr>
      <w:r w:rsidRPr="00DC27E1">
        <w:rPr>
          <w:b/>
        </w:rPr>
        <w:lastRenderedPageBreak/>
        <w:t>1. RISK ASSESSMENT</w:t>
      </w:r>
    </w:p>
    <w:p w14:paraId="1878ED2B" w14:textId="77777777" w:rsidR="009B7A77" w:rsidRDefault="009B7A77" w:rsidP="00F76480">
      <w:pPr>
        <w:jc w:val="both"/>
      </w:pPr>
      <w:r>
        <w:t>All interactions with customers and clients must be subjected to risk assessment.</w:t>
      </w:r>
    </w:p>
    <w:p w14:paraId="722F5120" w14:textId="30E210E4" w:rsidR="00144247" w:rsidRDefault="00144247" w:rsidP="00F76480">
      <w:pPr>
        <w:jc w:val="both"/>
      </w:pPr>
      <w:r>
        <w:t xml:space="preserve">Generic risk assessment templates are provided </w:t>
      </w:r>
      <w:r w:rsidR="0064212A">
        <w:t xml:space="preserve">as appendices to this policy statement </w:t>
      </w:r>
      <w:r>
        <w:t>and should be used. One possible outcome from the generic risk assessment is that a more detailed, bespoke risk assessment is required. In such circumstances, the manager is responsible for ensuring that a bespoke risk assessment is prepared prior to the work visit taking place.</w:t>
      </w:r>
    </w:p>
    <w:p w14:paraId="1C4835E8" w14:textId="77777777" w:rsidR="009B7A77" w:rsidRDefault="00144247" w:rsidP="00F76480">
      <w:pPr>
        <w:jc w:val="both"/>
      </w:pPr>
      <w:r>
        <w:t xml:space="preserve">All </w:t>
      </w:r>
      <w:r w:rsidR="009B7A77">
        <w:t>risk assessment</w:t>
      </w:r>
      <w:r>
        <w:t>s</w:t>
      </w:r>
      <w:r w:rsidR="009B7A77">
        <w:t xml:space="preserve"> must:</w:t>
      </w:r>
    </w:p>
    <w:p w14:paraId="1948D3BC" w14:textId="77777777" w:rsidR="000B6716" w:rsidRDefault="000B6716" w:rsidP="00F76480">
      <w:pPr>
        <w:pStyle w:val="ListParagraph"/>
        <w:numPr>
          <w:ilvl w:val="0"/>
          <w:numId w:val="4"/>
        </w:numPr>
        <w:jc w:val="both"/>
      </w:pPr>
      <w:r>
        <w:t>Take into account all known intelligence about the customer(s), the venue and previous case history</w:t>
      </w:r>
    </w:p>
    <w:p w14:paraId="19EF8D98" w14:textId="77777777" w:rsidR="000B6716" w:rsidRDefault="000B6716" w:rsidP="00F76480">
      <w:pPr>
        <w:pStyle w:val="ListParagraph"/>
        <w:numPr>
          <w:ilvl w:val="0"/>
          <w:numId w:val="4"/>
        </w:numPr>
        <w:jc w:val="both"/>
      </w:pPr>
      <w:r>
        <w:t>Consider any potential risk arising from the lack of, or gaps within, current intelligence</w:t>
      </w:r>
    </w:p>
    <w:p w14:paraId="2AAEEB97" w14:textId="79E6C9BC" w:rsidR="0065576F" w:rsidRDefault="000B6716" w:rsidP="0065576F">
      <w:pPr>
        <w:pStyle w:val="ListParagraph"/>
        <w:numPr>
          <w:ilvl w:val="0"/>
          <w:numId w:val="4"/>
        </w:numPr>
        <w:jc w:val="both"/>
      </w:pPr>
      <w:r>
        <w:t xml:space="preserve">Consider the reason for the visit </w:t>
      </w:r>
      <w:r w:rsidR="0065576F">
        <w:t>including whether the visit can be done in an alternative way</w:t>
      </w:r>
      <w:r w:rsidR="003035F2">
        <w:t xml:space="preserve"> – for example via telephone or online</w:t>
      </w:r>
      <w:r w:rsidR="0065576F">
        <w:t>.</w:t>
      </w:r>
    </w:p>
    <w:p w14:paraId="7182EBF1" w14:textId="77777777" w:rsidR="003035F2" w:rsidRDefault="003035F2" w:rsidP="003035F2">
      <w:pPr>
        <w:pStyle w:val="ListParagraph"/>
        <w:numPr>
          <w:ilvl w:val="0"/>
          <w:numId w:val="4"/>
        </w:numPr>
        <w:jc w:val="both"/>
      </w:pPr>
      <w:r>
        <w:t>Consider the risks of not undertaking the visit.</w:t>
      </w:r>
    </w:p>
    <w:p w14:paraId="28273063" w14:textId="77777777" w:rsidR="000B6716" w:rsidRDefault="000B6716" w:rsidP="00F76480">
      <w:pPr>
        <w:pStyle w:val="ListParagraph"/>
        <w:numPr>
          <w:ilvl w:val="0"/>
          <w:numId w:val="4"/>
        </w:numPr>
        <w:jc w:val="both"/>
      </w:pPr>
      <w:r>
        <w:t>Consider all other relevant information</w:t>
      </w:r>
    </w:p>
    <w:p w14:paraId="02780FEC" w14:textId="77777777" w:rsidR="000B6716" w:rsidRDefault="00144247" w:rsidP="00F76480">
      <w:pPr>
        <w:jc w:val="both"/>
      </w:pPr>
      <w:r>
        <w:t>All r</w:t>
      </w:r>
      <w:r w:rsidR="000B6716">
        <w:t>isk assessment</w:t>
      </w:r>
      <w:r>
        <w:t>s</w:t>
      </w:r>
      <w:r w:rsidR="000B6716">
        <w:t xml:space="preserve"> must conclude with:</w:t>
      </w:r>
    </w:p>
    <w:p w14:paraId="53078EED" w14:textId="77777777" w:rsidR="000B6716" w:rsidRDefault="000B6716" w:rsidP="00F76480">
      <w:pPr>
        <w:pStyle w:val="ListParagraph"/>
        <w:numPr>
          <w:ilvl w:val="0"/>
          <w:numId w:val="5"/>
        </w:numPr>
        <w:jc w:val="both"/>
      </w:pPr>
      <w:r>
        <w:t>A clear indication that lone working is suitable for this visit</w:t>
      </w:r>
      <w:r w:rsidR="00012927">
        <w:t xml:space="preserve"> and this will be known as a CATEGORY 1 VISIT; or</w:t>
      </w:r>
    </w:p>
    <w:p w14:paraId="6402EACC" w14:textId="77777777" w:rsidR="00012927" w:rsidRDefault="00012927" w:rsidP="00F76480">
      <w:pPr>
        <w:pStyle w:val="ListParagraph"/>
        <w:numPr>
          <w:ilvl w:val="0"/>
          <w:numId w:val="5"/>
        </w:numPr>
        <w:jc w:val="both"/>
      </w:pPr>
      <w:r>
        <w:t>A clear indication that lone working is NOT suitable for this visit and this will be known as a CATEGORY 2 visit.</w:t>
      </w:r>
    </w:p>
    <w:p w14:paraId="64AB0E76" w14:textId="79C1A12A" w:rsidR="00F903B5" w:rsidRDefault="0098583C" w:rsidP="00F76480">
      <w:pPr>
        <w:jc w:val="both"/>
      </w:pPr>
      <w:r>
        <w:t xml:space="preserve">Category 1 and </w:t>
      </w:r>
      <w:r w:rsidR="00177020">
        <w:t>C</w:t>
      </w:r>
      <w:r>
        <w:t xml:space="preserve">ategory 2 </w:t>
      </w:r>
      <w:r w:rsidR="006D606E">
        <w:t>risk assessments</w:t>
      </w:r>
      <w:r>
        <w:t xml:space="preserve"> are provided as appendices to this policy statement.</w:t>
      </w:r>
    </w:p>
    <w:p w14:paraId="303245F3" w14:textId="03D6EDAD" w:rsidR="00144247" w:rsidRDefault="00012927" w:rsidP="00F76480">
      <w:pPr>
        <w:jc w:val="both"/>
      </w:pPr>
      <w:r>
        <w:t xml:space="preserve">The </w:t>
      </w:r>
      <w:r w:rsidR="00BD6421">
        <w:t xml:space="preserve">category of visit </w:t>
      </w:r>
      <w:r>
        <w:t xml:space="preserve">must be referenced in </w:t>
      </w:r>
      <w:r w:rsidR="006727A1">
        <w:t xml:space="preserve">LAS on the </w:t>
      </w:r>
      <w:r w:rsidR="001E1D09">
        <w:t xml:space="preserve">customer record; and in </w:t>
      </w:r>
      <w:r>
        <w:t>the visit entry on the Outlook calendar of the lone worker(s)</w:t>
      </w:r>
      <w:r w:rsidR="001E1D09">
        <w:t xml:space="preserve"> </w:t>
      </w:r>
      <w:r w:rsidR="00BF1F9E">
        <w:t>or the alternative electronic scheduling system used by specific teams</w:t>
      </w:r>
      <w:r w:rsidR="001244ED">
        <w:t>.</w:t>
      </w:r>
    </w:p>
    <w:p w14:paraId="13B242FD" w14:textId="77777777" w:rsidR="009B7A77" w:rsidRDefault="009B7A77" w:rsidP="00F76480">
      <w:pPr>
        <w:jc w:val="both"/>
      </w:pPr>
    </w:p>
    <w:p w14:paraId="38C090DE" w14:textId="77777777" w:rsidR="009B7A77" w:rsidRPr="00DC27E1" w:rsidRDefault="00BA13F1" w:rsidP="00F76480">
      <w:pPr>
        <w:jc w:val="both"/>
        <w:rPr>
          <w:b/>
        </w:rPr>
      </w:pPr>
      <w:r w:rsidRPr="00DC27E1">
        <w:rPr>
          <w:b/>
        </w:rPr>
        <w:t>2. TRAINING</w:t>
      </w:r>
    </w:p>
    <w:p w14:paraId="4E826DE3" w14:textId="1845FEE1" w:rsidR="00BA13F1" w:rsidRDefault="003F228F" w:rsidP="00F76480">
      <w:pPr>
        <w:jc w:val="both"/>
      </w:pPr>
      <w:r>
        <w:t>All employees who may be required to be a lone worker, regardless of role or experience, will be required to complete internal training courses to learn skills and gain bespoke information</w:t>
      </w:r>
      <w:r w:rsidR="00CD6D9D">
        <w:t xml:space="preserve"> in respect of</w:t>
      </w:r>
      <w:r>
        <w:t>:</w:t>
      </w:r>
    </w:p>
    <w:p w14:paraId="7CFB297B" w14:textId="77777777" w:rsidR="00EB7909" w:rsidRDefault="00EB7909" w:rsidP="00EB7909">
      <w:pPr>
        <w:pStyle w:val="ListParagraph"/>
        <w:numPr>
          <w:ilvl w:val="0"/>
          <w:numId w:val="6"/>
        </w:numPr>
        <w:jc w:val="both"/>
      </w:pPr>
    </w:p>
    <w:p w14:paraId="4A734CFE" w14:textId="42E5D242" w:rsidR="00EB7909" w:rsidRDefault="00EB7909" w:rsidP="00EB7909">
      <w:pPr>
        <w:pStyle w:val="ListParagraph"/>
        <w:numPr>
          <w:ilvl w:val="0"/>
          <w:numId w:val="6"/>
        </w:numPr>
        <w:jc w:val="both"/>
      </w:pPr>
      <w:r>
        <w:t>Wiltshire Council policy and procedures</w:t>
      </w:r>
      <w:r>
        <w:t xml:space="preserve"> and the use of risk assessment tools</w:t>
      </w:r>
    </w:p>
    <w:p w14:paraId="7CBE841D" w14:textId="77777777" w:rsidR="003F228F" w:rsidRDefault="003F228F" w:rsidP="00F76480">
      <w:pPr>
        <w:pStyle w:val="ListParagraph"/>
        <w:numPr>
          <w:ilvl w:val="0"/>
          <w:numId w:val="6"/>
        </w:numPr>
        <w:jc w:val="both"/>
      </w:pPr>
      <w:r>
        <w:t>Lone worker awareness</w:t>
      </w:r>
    </w:p>
    <w:p w14:paraId="313E0284" w14:textId="77777777" w:rsidR="00EB7909" w:rsidRDefault="003F228F" w:rsidP="00EB7909">
      <w:pPr>
        <w:pStyle w:val="ListParagraph"/>
        <w:numPr>
          <w:ilvl w:val="0"/>
          <w:numId w:val="6"/>
        </w:numPr>
        <w:jc w:val="both"/>
      </w:pPr>
      <w:r>
        <w:t>De-escalation and defence skills</w:t>
      </w:r>
    </w:p>
    <w:p w14:paraId="4460F2AB" w14:textId="32F349CF" w:rsidR="003F228F" w:rsidRDefault="003F228F" w:rsidP="00EB7909">
      <w:pPr>
        <w:ind w:left="360"/>
        <w:jc w:val="both"/>
      </w:pPr>
      <w:r>
        <w:t>This training will be repeated and updated at intervals not exceeding 3 years</w:t>
      </w:r>
      <w:r w:rsidR="00C6518C">
        <w:t>, and a complete record of training must be kept.</w:t>
      </w:r>
    </w:p>
    <w:p w14:paraId="564A5D5E" w14:textId="0D111646" w:rsidR="003F228F" w:rsidRDefault="003F228F" w:rsidP="00F76480">
      <w:pPr>
        <w:jc w:val="both"/>
      </w:pPr>
      <w:r>
        <w:t>New starters (internal or external</w:t>
      </w:r>
      <w:r w:rsidR="00CD6D9D">
        <w:t xml:space="preserve">) </w:t>
      </w:r>
      <w:r>
        <w:t xml:space="preserve">must </w:t>
      </w:r>
      <w:r w:rsidR="00C6518C">
        <w:t xml:space="preserve">complete </w:t>
      </w:r>
      <w:r>
        <w:t xml:space="preserve">this training within 3 months of </w:t>
      </w:r>
      <w:r w:rsidR="008A657A">
        <w:t xml:space="preserve">starting in a lone worker role and not be allocated Category 2 visits </w:t>
      </w:r>
      <w:r w:rsidR="00B701C7">
        <w:t xml:space="preserve">as the primary worker </w:t>
      </w:r>
      <w:r w:rsidR="008A657A">
        <w:t>until training has been completed.</w:t>
      </w:r>
    </w:p>
    <w:p w14:paraId="142EF361" w14:textId="77777777" w:rsidR="00D906A5" w:rsidRDefault="00D906A5" w:rsidP="00F76480">
      <w:pPr>
        <w:jc w:val="both"/>
      </w:pPr>
    </w:p>
    <w:p w14:paraId="45576922" w14:textId="2BB68592" w:rsidR="00FC1E76" w:rsidRPr="00FC1E76" w:rsidRDefault="00FC1E76" w:rsidP="00F76480">
      <w:pPr>
        <w:jc w:val="both"/>
        <w:rPr>
          <w:b/>
        </w:rPr>
      </w:pPr>
      <w:r w:rsidRPr="00FC1E76">
        <w:rPr>
          <w:b/>
        </w:rPr>
        <w:lastRenderedPageBreak/>
        <w:t xml:space="preserve">3. </w:t>
      </w:r>
      <w:r w:rsidR="00484809">
        <w:rPr>
          <w:b/>
        </w:rPr>
        <w:t xml:space="preserve">TRACKING MOVEMENTS, </w:t>
      </w:r>
      <w:r w:rsidRPr="00FC1E76">
        <w:rPr>
          <w:b/>
        </w:rPr>
        <w:t>MOBILE COMMUNICATIONS AND ACTION</w:t>
      </w:r>
      <w:r w:rsidR="00FD62F3">
        <w:rPr>
          <w:b/>
        </w:rPr>
        <w:t xml:space="preserve"> IN EVENT OF CONCERN</w:t>
      </w:r>
    </w:p>
    <w:p w14:paraId="68075D5F" w14:textId="64A2ECBD" w:rsidR="00FF119E" w:rsidRDefault="00FF119E" w:rsidP="00F76480">
      <w:pPr>
        <w:jc w:val="both"/>
        <w:rPr>
          <w:u w:val="single"/>
        </w:rPr>
      </w:pPr>
      <w:r w:rsidRPr="00FF119E">
        <w:rPr>
          <w:u w:val="single"/>
        </w:rPr>
        <w:t>a) Tracking movements</w:t>
      </w:r>
    </w:p>
    <w:p w14:paraId="79FA37AC" w14:textId="4A3A760B" w:rsidR="00724577" w:rsidRPr="00724577" w:rsidRDefault="00724577" w:rsidP="00724577">
      <w:pPr>
        <w:jc w:val="both"/>
      </w:pPr>
      <w:r w:rsidRPr="00724577">
        <w:t xml:space="preserve">All staff must ensure that their details, including telephone numbers, address, vehicle and </w:t>
      </w:r>
      <w:r w:rsidR="00164A98">
        <w:t>next of kin are</w:t>
      </w:r>
      <w:r w:rsidRPr="00724577">
        <w:t xml:space="preserve"> current and correct.</w:t>
      </w:r>
    </w:p>
    <w:p w14:paraId="4B788D33" w14:textId="7C8D87A2" w:rsidR="00FF119E" w:rsidRDefault="0007240A" w:rsidP="00F76480">
      <w:pPr>
        <w:jc w:val="both"/>
      </w:pPr>
      <w:r>
        <w:t>In every instance, the details of the itinerary</w:t>
      </w:r>
      <w:r w:rsidR="00F74219">
        <w:t xml:space="preserve"> of a lone worker must be recorded accurately before </w:t>
      </w:r>
      <w:r w:rsidR="00A8065E">
        <w:t>leaving to commence the lone working period.</w:t>
      </w:r>
    </w:p>
    <w:p w14:paraId="5C995F04" w14:textId="5A578819" w:rsidR="00A8065E" w:rsidRDefault="00627CF4" w:rsidP="00F76480">
      <w:pPr>
        <w:jc w:val="both"/>
      </w:pPr>
      <w:r>
        <w:t xml:space="preserve">The details should be </w:t>
      </w:r>
      <w:r w:rsidR="0039673E">
        <w:t xml:space="preserve">recorded </w:t>
      </w:r>
      <w:r>
        <w:t xml:space="preserve">on the Outlook calendar </w:t>
      </w:r>
      <w:r w:rsidR="00164A98">
        <w:t xml:space="preserve">(or scheduling system) </w:t>
      </w:r>
      <w:r w:rsidR="0039673E">
        <w:t xml:space="preserve">of the lone worker </w:t>
      </w:r>
      <w:r>
        <w:t>for that day</w:t>
      </w:r>
      <w:r w:rsidR="0039673E">
        <w:t>.</w:t>
      </w:r>
      <w:r w:rsidR="003E4D3A">
        <w:t xml:space="preserve"> It must include:</w:t>
      </w:r>
    </w:p>
    <w:p w14:paraId="7F7E909D" w14:textId="77777777" w:rsidR="00080358" w:rsidRDefault="00D011E9" w:rsidP="00080358">
      <w:pPr>
        <w:pStyle w:val="ListParagraph"/>
        <w:numPr>
          <w:ilvl w:val="0"/>
          <w:numId w:val="9"/>
        </w:numPr>
        <w:jc w:val="both"/>
      </w:pPr>
      <w:r>
        <w:t xml:space="preserve">A </w:t>
      </w:r>
      <w:r w:rsidR="004F0E04">
        <w:t xml:space="preserve">unique identifier </w:t>
      </w:r>
      <w:r w:rsidR="00180BC9">
        <w:t xml:space="preserve">code from which the </w:t>
      </w:r>
      <w:r>
        <w:t>person</w:t>
      </w:r>
      <w:r w:rsidR="00CD42D3">
        <w:t xml:space="preserve"> and address being </w:t>
      </w:r>
      <w:r>
        <w:t>visited</w:t>
      </w:r>
      <w:r w:rsidR="00180BC9">
        <w:t xml:space="preserve"> can be </w:t>
      </w:r>
      <w:r w:rsidR="006479BA">
        <w:t>established</w:t>
      </w:r>
      <w:r w:rsidR="00180BC9">
        <w:t xml:space="preserve"> </w:t>
      </w:r>
    </w:p>
    <w:p w14:paraId="43DBC733" w14:textId="506F647C" w:rsidR="00DB023A" w:rsidRDefault="00080358" w:rsidP="00080358">
      <w:pPr>
        <w:pStyle w:val="ListParagraph"/>
        <w:numPr>
          <w:ilvl w:val="0"/>
          <w:numId w:val="9"/>
        </w:numPr>
        <w:jc w:val="both"/>
      </w:pPr>
      <w:r>
        <w:t xml:space="preserve">The </w:t>
      </w:r>
      <w:r w:rsidR="00DA78D4">
        <w:t>scheduled</w:t>
      </w:r>
      <w:r w:rsidR="00180BC9">
        <w:t xml:space="preserve"> time</w:t>
      </w:r>
      <w:r w:rsidR="00DA78D4">
        <w:t xml:space="preserve"> of entering the address</w:t>
      </w:r>
    </w:p>
    <w:p w14:paraId="53FEAD5D" w14:textId="6AD59841" w:rsidR="006C5470" w:rsidRDefault="006C5470" w:rsidP="003E4D3A">
      <w:pPr>
        <w:pStyle w:val="ListParagraph"/>
        <w:numPr>
          <w:ilvl w:val="0"/>
          <w:numId w:val="7"/>
        </w:numPr>
        <w:jc w:val="both"/>
      </w:pPr>
      <w:r>
        <w:t>The anticipated end time of leaving the address</w:t>
      </w:r>
    </w:p>
    <w:p w14:paraId="1F3EDC6B" w14:textId="1AAACDA3" w:rsidR="00621CDC" w:rsidRPr="00FF119E" w:rsidRDefault="00621CDC" w:rsidP="003E4D3A">
      <w:pPr>
        <w:pStyle w:val="ListParagraph"/>
        <w:numPr>
          <w:ilvl w:val="0"/>
          <w:numId w:val="7"/>
        </w:numPr>
        <w:jc w:val="both"/>
      </w:pPr>
      <w:r>
        <w:t>Details of further planned visits</w:t>
      </w:r>
      <w:r w:rsidR="00512EBD">
        <w:t xml:space="preserve"> or the next location (office/home etc)</w:t>
      </w:r>
    </w:p>
    <w:p w14:paraId="635CA0F0" w14:textId="6E31E219" w:rsidR="00407B6F" w:rsidRDefault="00407B6F" w:rsidP="00F76480">
      <w:pPr>
        <w:jc w:val="both"/>
      </w:pPr>
      <w:r>
        <w:t xml:space="preserve">All Outlook accounts must be </w:t>
      </w:r>
      <w:r w:rsidR="00286D73">
        <w:t xml:space="preserve">set to be </w:t>
      </w:r>
      <w:r>
        <w:t xml:space="preserve">visible to </w:t>
      </w:r>
      <w:r w:rsidR="00286D73">
        <w:t>other members of staff</w:t>
      </w:r>
      <w:r w:rsidR="0058219B">
        <w:t>.</w:t>
      </w:r>
    </w:p>
    <w:p w14:paraId="0ABBD8FD" w14:textId="6215005C" w:rsidR="004A72A8" w:rsidRDefault="00830CD2" w:rsidP="00F76480">
      <w:pPr>
        <w:jc w:val="both"/>
      </w:pPr>
      <w:r>
        <w:t>U</w:t>
      </w:r>
      <w:r w:rsidR="004A72A8">
        <w:t>nplanned vis</w:t>
      </w:r>
      <w:r w:rsidR="00EB5E59">
        <w:t>its should be avoided but</w:t>
      </w:r>
      <w:r w:rsidR="001D52E3">
        <w:t>,</w:t>
      </w:r>
      <w:r w:rsidR="00EB5E59">
        <w:t xml:space="preserve"> if they are</w:t>
      </w:r>
      <w:r>
        <w:t xml:space="preserve"> required</w:t>
      </w:r>
      <w:r w:rsidR="00EB5E59">
        <w:t xml:space="preserve"> to occur</w:t>
      </w:r>
      <w:r w:rsidR="00467EF4">
        <w:t xml:space="preserve">, the employee must phone into the respective Duty </w:t>
      </w:r>
      <w:r w:rsidR="00514AFE">
        <w:t>O</w:t>
      </w:r>
      <w:r w:rsidR="00467EF4">
        <w:t>fficer</w:t>
      </w:r>
      <w:r w:rsidR="00485321">
        <w:t xml:space="preserve"> (or other senior manager)</w:t>
      </w:r>
      <w:r w:rsidR="00467EF4">
        <w:t xml:space="preserve"> and </w:t>
      </w:r>
      <w:r w:rsidR="008258C3">
        <w:t>all</w:t>
      </w:r>
      <w:r w:rsidR="00467EF4">
        <w:t xml:space="preserve"> the above details must be recorded</w:t>
      </w:r>
      <w:r>
        <w:t xml:space="preserve"> prior to entering any address. </w:t>
      </w:r>
    </w:p>
    <w:p w14:paraId="1F6B3952" w14:textId="7DAC95B3" w:rsidR="00080358" w:rsidRDefault="007A7A94" w:rsidP="00F76480">
      <w:pPr>
        <w:jc w:val="both"/>
      </w:pPr>
      <w:r>
        <w:t xml:space="preserve">If any </w:t>
      </w:r>
      <w:r w:rsidR="00272DF7">
        <w:t xml:space="preserve">of the </w:t>
      </w:r>
      <w:r w:rsidR="00965373">
        <w:t>visit details</w:t>
      </w:r>
      <w:r>
        <w:t xml:space="preserve"> change significantly during the working period</w:t>
      </w:r>
      <w:r w:rsidR="00EA17B5">
        <w:t xml:space="preserve">, such as the start/end time altering for example, then the employee must </w:t>
      </w:r>
      <w:r w:rsidR="00A86F73">
        <w:t>contact</w:t>
      </w:r>
      <w:r w:rsidR="00272DF7">
        <w:t xml:space="preserve"> the respective Duty Officer to update details</w:t>
      </w:r>
      <w:r w:rsidR="00965373">
        <w:t xml:space="preserve"> or update their Outlook calendar remotely. </w:t>
      </w:r>
    </w:p>
    <w:p w14:paraId="7C0BC5E2" w14:textId="112EA3F5" w:rsidR="00A2614B" w:rsidRDefault="000C4FDF" w:rsidP="00F76480">
      <w:pPr>
        <w:jc w:val="both"/>
      </w:pPr>
      <w:r>
        <w:t xml:space="preserve">Every lone worker must </w:t>
      </w:r>
      <w:r w:rsidR="007C2270">
        <w:t>report</w:t>
      </w:r>
      <w:r w:rsidR="00EA4C63">
        <w:t>, via a suitable method</w:t>
      </w:r>
      <w:r w:rsidR="00D957A8">
        <w:t xml:space="preserve"> to a manager o</w:t>
      </w:r>
      <w:r w:rsidR="00A86F73">
        <w:t>r</w:t>
      </w:r>
      <w:r w:rsidR="00D957A8">
        <w:t xml:space="preserve"> other nominated person</w:t>
      </w:r>
      <w:r w:rsidR="00EA4C63">
        <w:t xml:space="preserve">, that they have </w:t>
      </w:r>
      <w:r w:rsidR="00D957A8">
        <w:t xml:space="preserve">safely </w:t>
      </w:r>
      <w:r w:rsidR="00EA4C63">
        <w:t xml:space="preserve">completed their final </w:t>
      </w:r>
      <w:r w:rsidR="00D957A8">
        <w:t xml:space="preserve">visit of </w:t>
      </w:r>
      <w:r w:rsidR="00C2474C">
        <w:t>every</w:t>
      </w:r>
      <w:r w:rsidR="00D957A8">
        <w:t xml:space="preserve"> working period</w:t>
      </w:r>
      <w:r w:rsidR="003F2AD2">
        <w:t>,</w:t>
      </w:r>
      <w:r w:rsidR="004F6F53">
        <w:t xml:space="preserve"> if not returning to an office base</w:t>
      </w:r>
      <w:r w:rsidR="00C2474C">
        <w:t xml:space="preserve"> where their presence will be noted.</w:t>
      </w:r>
      <w:r w:rsidR="005D3B25">
        <w:t xml:space="preserve"> A </w:t>
      </w:r>
      <w:r w:rsidR="005A4F9E">
        <w:t>suitable</w:t>
      </w:r>
      <w:r w:rsidR="005D3B25">
        <w:t xml:space="preserve"> method may be </w:t>
      </w:r>
      <w:r w:rsidR="00B36FC3">
        <w:t xml:space="preserve">a telephone call, </w:t>
      </w:r>
      <w:r w:rsidR="005A4F9E">
        <w:t>office messenger, email, text</w:t>
      </w:r>
      <w:r w:rsidR="00B36FC3">
        <w:t>, WhatsApp</w:t>
      </w:r>
      <w:r w:rsidR="0009244B">
        <w:t xml:space="preserve"> etc.</w:t>
      </w:r>
    </w:p>
    <w:p w14:paraId="02A07496" w14:textId="7D8CCBC5" w:rsidR="00407B6F" w:rsidRPr="003F687A" w:rsidRDefault="00241296" w:rsidP="00F76480">
      <w:pPr>
        <w:jc w:val="both"/>
        <w:rPr>
          <w:u w:val="single"/>
        </w:rPr>
      </w:pPr>
      <w:r w:rsidRPr="003F687A">
        <w:rPr>
          <w:u w:val="single"/>
        </w:rPr>
        <w:t>b) Mobile</w:t>
      </w:r>
      <w:r w:rsidR="003F687A" w:rsidRPr="003F687A">
        <w:rPr>
          <w:u w:val="single"/>
        </w:rPr>
        <w:t xml:space="preserve"> </w:t>
      </w:r>
      <w:r w:rsidRPr="003F687A">
        <w:rPr>
          <w:u w:val="single"/>
        </w:rPr>
        <w:t>communications</w:t>
      </w:r>
    </w:p>
    <w:p w14:paraId="04B7D88E" w14:textId="7396FE23" w:rsidR="00FC1E76" w:rsidRDefault="00FC1E76" w:rsidP="00F76480">
      <w:pPr>
        <w:jc w:val="both"/>
      </w:pPr>
      <w:r>
        <w:t>H</w:t>
      </w:r>
      <w:r w:rsidR="00C22874">
        <w:t>aving the means to contact another person for assistance</w:t>
      </w:r>
      <w:r w:rsidR="00A714F7">
        <w:t xml:space="preserve"> is a critical component of the risk control strategy.</w:t>
      </w:r>
    </w:p>
    <w:p w14:paraId="2626CC53" w14:textId="6BAE1641" w:rsidR="00A714F7" w:rsidRDefault="006013D2" w:rsidP="00F76480">
      <w:pPr>
        <w:jc w:val="both"/>
      </w:pPr>
      <w:r>
        <w:t xml:space="preserve">No lone working </w:t>
      </w:r>
      <w:r w:rsidR="009907E9">
        <w:t xml:space="preserve">should occur </w:t>
      </w:r>
      <w:r>
        <w:t xml:space="preserve">away from normal </w:t>
      </w:r>
      <w:r w:rsidR="003F687A">
        <w:t xml:space="preserve">office or home </w:t>
      </w:r>
      <w:r w:rsidR="009907E9">
        <w:t>locations,</w:t>
      </w:r>
      <w:r>
        <w:t xml:space="preserve"> unless the lone worker is in possession of </w:t>
      </w:r>
      <w:r w:rsidR="001B7466">
        <w:t xml:space="preserve">a working and charged mobile </w:t>
      </w:r>
      <w:r w:rsidR="0009244B">
        <w:t>phone</w:t>
      </w:r>
      <w:r w:rsidR="001B7466">
        <w:t>.</w:t>
      </w:r>
      <w:r w:rsidR="00386616">
        <w:t xml:space="preserve"> All lone workers are responsible</w:t>
      </w:r>
      <w:r w:rsidR="000D2808">
        <w:t xml:space="preserve"> for keeping mobile </w:t>
      </w:r>
      <w:r w:rsidR="0009244B">
        <w:t>phones</w:t>
      </w:r>
      <w:r w:rsidR="000D2808">
        <w:t xml:space="preserve"> charged throughout the working period.</w:t>
      </w:r>
    </w:p>
    <w:p w14:paraId="2A642C5D" w14:textId="6E8E5048" w:rsidR="00EA1C7F" w:rsidRDefault="00EA1C7F" w:rsidP="00F76480">
      <w:pPr>
        <w:jc w:val="both"/>
      </w:pPr>
      <w:r>
        <w:t xml:space="preserve">The </w:t>
      </w:r>
      <w:r w:rsidR="00F76A92">
        <w:t xml:space="preserve">safety functions of the device should be appropriate to the risk as assessed. A </w:t>
      </w:r>
      <w:r w:rsidR="007909FB">
        <w:t xml:space="preserve">flowchart that helps to identify the appropriate device is </w:t>
      </w:r>
      <w:r w:rsidR="00582C47">
        <w:t>given as an appendix to this policy statement.</w:t>
      </w:r>
    </w:p>
    <w:p w14:paraId="64AABE2F" w14:textId="5DB21D19" w:rsidR="00466E6F" w:rsidRDefault="00466E6F" w:rsidP="00F76480">
      <w:pPr>
        <w:jc w:val="both"/>
      </w:pPr>
      <w:r>
        <w:t>Managers must ensure</w:t>
      </w:r>
      <w:r w:rsidR="001D594C">
        <w:t xml:space="preserve"> that all lone workers have the appropriate mobile device and know how to use all of the relevant functions.</w:t>
      </w:r>
    </w:p>
    <w:p w14:paraId="151340DF" w14:textId="405AA475" w:rsidR="005929C0" w:rsidRPr="004063C1" w:rsidRDefault="005929C0" w:rsidP="00F76480">
      <w:pPr>
        <w:jc w:val="both"/>
        <w:rPr>
          <w:u w:val="single"/>
        </w:rPr>
      </w:pPr>
      <w:r w:rsidRPr="004063C1">
        <w:rPr>
          <w:u w:val="single"/>
        </w:rPr>
        <w:t>c) Action in event of concern</w:t>
      </w:r>
    </w:p>
    <w:p w14:paraId="706400AE" w14:textId="68432246" w:rsidR="005929C0" w:rsidRDefault="009B636E" w:rsidP="00F76480">
      <w:pPr>
        <w:jc w:val="both"/>
      </w:pPr>
      <w:r>
        <w:t>Lone workers should always follow their training</w:t>
      </w:r>
      <w:r w:rsidR="00B84EF3">
        <w:t>, this policy and their instincts. If in any doubt about personal safety</w:t>
      </w:r>
      <w:r w:rsidR="0070077C">
        <w:t>, the instruction is to remove oneself to a point of safety.</w:t>
      </w:r>
      <w:r w:rsidR="00E52A42">
        <w:t xml:space="preserve"> If the threat is immediate and significant call 999</w:t>
      </w:r>
      <w:r w:rsidR="00C56536">
        <w:t xml:space="preserve"> and ask for the police.</w:t>
      </w:r>
    </w:p>
    <w:p w14:paraId="7286C3A0" w14:textId="341533E2" w:rsidR="00E70809" w:rsidRDefault="00E70809" w:rsidP="00F76480">
      <w:pPr>
        <w:jc w:val="both"/>
      </w:pPr>
      <w:r>
        <w:lastRenderedPageBreak/>
        <w:t xml:space="preserve">Lone workers must not put themselves in danger </w:t>
      </w:r>
      <w:r w:rsidR="00F97B86">
        <w:t xml:space="preserve">in order </w:t>
      </w:r>
      <w:r>
        <w:t xml:space="preserve">to retain </w:t>
      </w:r>
      <w:r w:rsidR="00D407FD">
        <w:t xml:space="preserve">possession of </w:t>
      </w:r>
      <w:r>
        <w:t>equipment</w:t>
      </w:r>
      <w:r w:rsidR="00F97B86">
        <w:t xml:space="preserve"> or materials; or to attempt to </w:t>
      </w:r>
      <w:r w:rsidR="00A16CB2">
        <w:t xml:space="preserve">resolve a </w:t>
      </w:r>
      <w:r w:rsidR="00D407FD">
        <w:t>critical situation</w:t>
      </w:r>
      <w:r w:rsidR="004626BB">
        <w:t>; or to prolong</w:t>
      </w:r>
      <w:r w:rsidR="006C2AED">
        <w:t xml:space="preserve"> dialogue.</w:t>
      </w:r>
    </w:p>
    <w:p w14:paraId="2C74246B" w14:textId="6F5BC4D2" w:rsidR="00553840" w:rsidRDefault="00BA74C6" w:rsidP="00F76480">
      <w:pPr>
        <w:jc w:val="both"/>
      </w:pPr>
      <w:r>
        <w:t>Whilst every situation will be different and lone workers will be expected to dynamically risk assess</w:t>
      </w:r>
      <w:r w:rsidR="00C4776B">
        <w:t xml:space="preserve"> circumstances as they change, the general </w:t>
      </w:r>
      <w:r w:rsidR="00AC33FC">
        <w:t>personal safety strategy to be adopted is:</w:t>
      </w:r>
    </w:p>
    <w:p w14:paraId="2E9A932B" w14:textId="0835A4A0" w:rsidR="00AC33FC" w:rsidRDefault="0025120F" w:rsidP="00AC33FC">
      <w:pPr>
        <w:pStyle w:val="ListParagraph"/>
        <w:numPr>
          <w:ilvl w:val="0"/>
          <w:numId w:val="10"/>
        </w:numPr>
        <w:jc w:val="both"/>
      </w:pPr>
      <w:r>
        <w:t>Do not commence lone working unless fully prepared</w:t>
      </w:r>
    </w:p>
    <w:p w14:paraId="0CF94307" w14:textId="6E5637D6" w:rsidR="00D755D8" w:rsidRDefault="00E36F66" w:rsidP="00AC33FC">
      <w:pPr>
        <w:pStyle w:val="ListParagraph"/>
        <w:numPr>
          <w:ilvl w:val="0"/>
          <w:numId w:val="10"/>
        </w:numPr>
        <w:jc w:val="both"/>
      </w:pPr>
      <w:r>
        <w:t>If concern develops</w:t>
      </w:r>
      <w:r w:rsidR="00B43DE4">
        <w:t>, be prepared to curtail the visit</w:t>
      </w:r>
    </w:p>
    <w:p w14:paraId="7CA90AB2" w14:textId="1F132CDB" w:rsidR="0096034E" w:rsidRDefault="0096034E" w:rsidP="00AC33FC">
      <w:pPr>
        <w:pStyle w:val="ListParagraph"/>
        <w:numPr>
          <w:ilvl w:val="0"/>
          <w:numId w:val="10"/>
        </w:numPr>
        <w:jc w:val="both"/>
      </w:pPr>
      <w:r>
        <w:t xml:space="preserve">If concern persists, </w:t>
      </w:r>
      <w:r w:rsidR="00D4574E">
        <w:t>attempt to leave the address</w:t>
      </w:r>
    </w:p>
    <w:p w14:paraId="3DAC9437" w14:textId="60E6B1ED" w:rsidR="00D4574E" w:rsidRDefault="00D4574E" w:rsidP="00AC33FC">
      <w:pPr>
        <w:pStyle w:val="ListParagraph"/>
        <w:numPr>
          <w:ilvl w:val="0"/>
          <w:numId w:val="10"/>
        </w:numPr>
        <w:jc w:val="both"/>
      </w:pPr>
      <w:r>
        <w:t>If unable to do so, use the mobile devi</w:t>
      </w:r>
      <w:r w:rsidR="007C3A48">
        <w:t>c</w:t>
      </w:r>
      <w:r>
        <w:t xml:space="preserve">e to call your Duty </w:t>
      </w:r>
      <w:r w:rsidR="007C3A48">
        <w:t xml:space="preserve">Officer </w:t>
      </w:r>
      <w:r w:rsidR="003225D4">
        <w:t xml:space="preserve">(or a senior manager) </w:t>
      </w:r>
      <w:r w:rsidR="007C3A48">
        <w:t>or the police if possible.</w:t>
      </w:r>
    </w:p>
    <w:p w14:paraId="6616F452" w14:textId="437DB11A" w:rsidR="001E7E8C" w:rsidRDefault="001E7E8C" w:rsidP="00AC33FC">
      <w:pPr>
        <w:pStyle w:val="ListParagraph"/>
        <w:numPr>
          <w:ilvl w:val="0"/>
          <w:numId w:val="10"/>
        </w:numPr>
        <w:jc w:val="both"/>
      </w:pPr>
      <w:r>
        <w:t>Use the code phrase “</w:t>
      </w:r>
      <w:r w:rsidRPr="0092329B">
        <w:rPr>
          <w:i/>
          <w:u w:val="single"/>
        </w:rPr>
        <w:t xml:space="preserve">I am going to be late for my meeting with </w:t>
      </w:r>
      <w:r w:rsidR="003A101A" w:rsidRPr="0092329B">
        <w:rPr>
          <w:i/>
          <w:u w:val="single"/>
        </w:rPr>
        <w:t>the Director</w:t>
      </w:r>
      <w:r w:rsidR="003A101A">
        <w:t xml:space="preserve">” in order to </w:t>
      </w:r>
      <w:r w:rsidR="00661BFB">
        <w:t xml:space="preserve">discretely </w:t>
      </w:r>
      <w:r w:rsidR="003A101A">
        <w:t>raise alarm with the Duty Of</w:t>
      </w:r>
      <w:r w:rsidR="0092329B">
        <w:t>ficer</w:t>
      </w:r>
    </w:p>
    <w:p w14:paraId="4D95186D" w14:textId="2FDD47B8" w:rsidR="0092329B" w:rsidRDefault="00E54BD6" w:rsidP="00661BFB">
      <w:pPr>
        <w:jc w:val="both"/>
      </w:pPr>
      <w:r>
        <w:t xml:space="preserve">All teams must </w:t>
      </w:r>
      <w:r w:rsidR="00ED6F63">
        <w:t xml:space="preserve">train and </w:t>
      </w:r>
      <w:r w:rsidR="009B2CBB">
        <w:t xml:space="preserve">practice the responses to receiving any call for assistance so that the procedure is </w:t>
      </w:r>
      <w:r w:rsidR="00ED6F63">
        <w:t xml:space="preserve">understood effectively by every </w:t>
      </w:r>
      <w:r w:rsidR="00B907FA">
        <w:t>member of the team.</w:t>
      </w:r>
      <w:r w:rsidR="009A11E5">
        <w:t xml:space="preserve"> </w:t>
      </w:r>
      <w:bookmarkStart w:id="0" w:name="_Hlk22137376"/>
      <w:r w:rsidR="009A11E5">
        <w:t>The</w:t>
      </w:r>
      <w:r w:rsidR="00973704">
        <w:t xml:space="preserve"> </w:t>
      </w:r>
      <w:r w:rsidR="009A11E5">
        <w:t xml:space="preserve">Duty </w:t>
      </w:r>
      <w:r w:rsidR="00973704">
        <w:t>Officer</w:t>
      </w:r>
      <w:r w:rsidR="009A11E5">
        <w:t xml:space="preserve">, Senior </w:t>
      </w:r>
      <w:r w:rsidR="00973704">
        <w:t>M</w:t>
      </w:r>
      <w:r w:rsidR="009A11E5">
        <w:t>anager and Director</w:t>
      </w:r>
      <w:r w:rsidR="00973704">
        <w:t xml:space="preserve"> should be informed of any call for assistance via this mechanism</w:t>
      </w:r>
      <w:r w:rsidR="007C5B1F">
        <w:t xml:space="preserve"> to ensure a co</w:t>
      </w:r>
      <w:r w:rsidR="005D2FCA">
        <w:t>-</w:t>
      </w:r>
      <w:r w:rsidR="007C5B1F">
        <w:t>ordinated, timely and full response</w:t>
      </w:r>
      <w:r w:rsidR="00973704">
        <w:t>.</w:t>
      </w:r>
    </w:p>
    <w:bookmarkEnd w:id="0"/>
    <w:p w14:paraId="1EE0744E" w14:textId="066CC755" w:rsidR="000C219E" w:rsidRDefault="000C219E" w:rsidP="000C219E">
      <w:pPr>
        <w:jc w:val="both"/>
      </w:pPr>
      <w:r>
        <w:t xml:space="preserve">Staff are responsible for ensuring they contact their pre-arranged buddy or Manager to inform them that they are safe. </w:t>
      </w:r>
      <w:r w:rsidR="00E41C30">
        <w:t xml:space="preserve"> </w:t>
      </w:r>
      <w:r>
        <w:t xml:space="preserve">In the event that this does not occur this will be escalated to the Manager and HOS. </w:t>
      </w:r>
    </w:p>
    <w:p w14:paraId="7C94786E" w14:textId="0717592C" w:rsidR="007B7983" w:rsidRDefault="007B7983" w:rsidP="00661BFB">
      <w:pPr>
        <w:jc w:val="both"/>
      </w:pPr>
      <w:r>
        <w:t>Each team must have a</w:t>
      </w:r>
      <w:r w:rsidR="003C6232">
        <w:t xml:space="preserve"> </w:t>
      </w:r>
      <w:r>
        <w:t>clear escalation procedure to be adopted immediately in the ev</w:t>
      </w:r>
      <w:r w:rsidR="003C6232">
        <w:t>e</w:t>
      </w:r>
      <w:r>
        <w:t xml:space="preserve">nt of </w:t>
      </w:r>
      <w:r w:rsidR="003C6232">
        <w:t>a lone worker failing to report in satisfactorily.</w:t>
      </w:r>
      <w:r w:rsidR="004A4637">
        <w:t xml:space="preserve"> The general escalation strategy to be adopted is:</w:t>
      </w:r>
    </w:p>
    <w:p w14:paraId="25C4A76E" w14:textId="4D07FA46" w:rsidR="004A4637" w:rsidRDefault="003F4FE8" w:rsidP="003F4FE8">
      <w:pPr>
        <w:pStyle w:val="ListParagraph"/>
        <w:numPr>
          <w:ilvl w:val="0"/>
          <w:numId w:val="11"/>
        </w:numPr>
        <w:jc w:val="both"/>
      </w:pPr>
      <w:r>
        <w:t xml:space="preserve">Within </w:t>
      </w:r>
      <w:r w:rsidR="009268FD">
        <w:t>90</w:t>
      </w:r>
      <w:r>
        <w:t xml:space="preserve"> minutes of the end of the final scheduled visit</w:t>
      </w:r>
      <w:r w:rsidR="00872FF4">
        <w:t>, someone should attempt to contact the lone worker by mobile device, home landline</w:t>
      </w:r>
      <w:r w:rsidR="003C2EE1">
        <w:t xml:space="preserve"> or any other means available</w:t>
      </w:r>
    </w:p>
    <w:p w14:paraId="67133A7D" w14:textId="4296EA80" w:rsidR="003C2EE1" w:rsidRDefault="00831FE4" w:rsidP="003F4FE8">
      <w:pPr>
        <w:pStyle w:val="ListParagraph"/>
        <w:numPr>
          <w:ilvl w:val="0"/>
          <w:numId w:val="11"/>
        </w:numPr>
        <w:jc w:val="both"/>
      </w:pPr>
      <w:r>
        <w:t>If unsuccessful,</w:t>
      </w:r>
      <w:r w:rsidR="00B13772">
        <w:t xml:space="preserve"> the manager should be </w:t>
      </w:r>
      <w:r w:rsidR="00F6793E">
        <w:t>alerted,</w:t>
      </w:r>
      <w:r w:rsidR="00B13772">
        <w:t xml:space="preserve"> and </w:t>
      </w:r>
      <w:r>
        <w:t>someone should attempt to contact the final person scheduled to have been visited</w:t>
      </w:r>
      <w:r w:rsidR="00661526">
        <w:t xml:space="preserve"> and continue to work backwards until a definite last sighting is known</w:t>
      </w:r>
    </w:p>
    <w:p w14:paraId="2B0FD74C" w14:textId="53A6E2FA" w:rsidR="00371CCF" w:rsidRDefault="009355A4" w:rsidP="00371CCF">
      <w:pPr>
        <w:pStyle w:val="ListParagraph"/>
        <w:numPr>
          <w:ilvl w:val="0"/>
          <w:numId w:val="11"/>
        </w:numPr>
        <w:jc w:val="both"/>
      </w:pPr>
      <w:r>
        <w:t xml:space="preserve">If any information gives cause for concern, or if the lone worker still cannot be contacted </w:t>
      </w:r>
      <w:r w:rsidR="00944A48">
        <w:t xml:space="preserve">within </w:t>
      </w:r>
      <w:r w:rsidR="00E935B5">
        <w:t>a maximum of 3 hours</w:t>
      </w:r>
      <w:r w:rsidR="00371CCF">
        <w:t xml:space="preserve"> of the last confirmed sighting, then call 999 and ask for the police.</w:t>
      </w:r>
      <w:r w:rsidR="00BA37C6">
        <w:t xml:space="preserve"> </w:t>
      </w:r>
      <w:r w:rsidR="00371CCF">
        <w:t xml:space="preserve">The Duty Officer, </w:t>
      </w:r>
      <w:r w:rsidR="006B203A">
        <w:t>Head of Service</w:t>
      </w:r>
      <w:r w:rsidR="00371CCF">
        <w:t xml:space="preserve"> and Director should be informed of any escalation </w:t>
      </w:r>
      <w:r w:rsidR="005D2FCA">
        <w:t xml:space="preserve">to this point </w:t>
      </w:r>
      <w:r w:rsidR="00371CCF">
        <w:t>to ensure a co</w:t>
      </w:r>
      <w:r w:rsidR="005D2FCA">
        <w:t>-</w:t>
      </w:r>
      <w:r w:rsidR="00371CCF">
        <w:t>ordinated, timely and full response.</w:t>
      </w:r>
    </w:p>
    <w:p w14:paraId="6AED04FC" w14:textId="77777777" w:rsidR="009A11E5" w:rsidRDefault="009A11E5" w:rsidP="00661BFB">
      <w:pPr>
        <w:jc w:val="both"/>
      </w:pPr>
    </w:p>
    <w:p w14:paraId="48B79975" w14:textId="2937B581" w:rsidR="00B306C4" w:rsidRDefault="00A12294" w:rsidP="00F76480">
      <w:pPr>
        <w:jc w:val="both"/>
      </w:pPr>
      <w:r>
        <w:t xml:space="preserve">Appendix 1 - </w:t>
      </w:r>
      <w:r w:rsidR="00B306C4">
        <w:t xml:space="preserve">CATEGORY 1 VISIT </w:t>
      </w:r>
      <w:bookmarkStart w:id="1" w:name="_Hlk27494600"/>
      <w:r w:rsidR="00BF412F">
        <w:t>GENERIC RISK ASSESSMENT FORM</w:t>
      </w:r>
      <w:bookmarkEnd w:id="1"/>
      <w:r w:rsidR="00F6793E">
        <w:t xml:space="preserve"> AND SAFE SYTEM OF WORK</w:t>
      </w:r>
    </w:p>
    <w:p w14:paraId="19E5E0CB" w14:textId="11CCFF28" w:rsidR="00B306C4" w:rsidRDefault="00A12294" w:rsidP="00F76480">
      <w:pPr>
        <w:jc w:val="both"/>
      </w:pPr>
      <w:r>
        <w:t>Appendix 2 -</w:t>
      </w:r>
      <w:r w:rsidR="005C1DCA">
        <w:t xml:space="preserve"> </w:t>
      </w:r>
      <w:bookmarkStart w:id="2" w:name="_GoBack"/>
      <w:bookmarkEnd w:id="2"/>
      <w:r w:rsidR="00B306C4">
        <w:t xml:space="preserve">CATEGORY 2 VISIT </w:t>
      </w:r>
      <w:r w:rsidR="00BF412F">
        <w:t xml:space="preserve">GENERIC RISK ASSESSMENT FORM </w:t>
      </w:r>
      <w:r w:rsidR="00F6793E">
        <w:t>AND SAFE SYTSEM OF WORK</w:t>
      </w:r>
    </w:p>
    <w:p w14:paraId="59FFE68D" w14:textId="0DD619FB" w:rsidR="004F518E" w:rsidRDefault="00A12294" w:rsidP="00F76480">
      <w:pPr>
        <w:jc w:val="both"/>
      </w:pPr>
      <w:r>
        <w:t xml:space="preserve">Appendix 3 - </w:t>
      </w:r>
      <w:r w:rsidR="004F518E">
        <w:t>EXAMPLE OF SUITABLE OUTLOOK CALENDAR ENTRY</w:t>
      </w:r>
    </w:p>
    <w:p w14:paraId="5BE40205" w14:textId="1F59AB48" w:rsidR="00C468A8" w:rsidRDefault="00A12294" w:rsidP="00F76480">
      <w:pPr>
        <w:jc w:val="both"/>
      </w:pPr>
      <w:r>
        <w:t xml:space="preserve">Appendix 4 - </w:t>
      </w:r>
      <w:r w:rsidR="00C468A8">
        <w:t>MOBILE DEVICE SELECTION FLOWCHART</w:t>
      </w:r>
    </w:p>
    <w:p w14:paraId="73C440E4" w14:textId="35BBC880" w:rsidR="00CC1AB1" w:rsidRDefault="00A12294" w:rsidP="00422B39">
      <w:pPr>
        <w:jc w:val="both"/>
      </w:pPr>
      <w:r>
        <w:t xml:space="preserve">Appendix 5 - </w:t>
      </w:r>
      <w:r w:rsidR="00C468A8">
        <w:t>ESCALATION RECORD</w:t>
      </w:r>
    </w:p>
    <w:sectPr w:rsidR="00CC1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37A"/>
    <w:multiLevelType w:val="hybridMultilevel"/>
    <w:tmpl w:val="080A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E0FDA"/>
    <w:multiLevelType w:val="hybridMultilevel"/>
    <w:tmpl w:val="8016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B5498"/>
    <w:multiLevelType w:val="hybridMultilevel"/>
    <w:tmpl w:val="1B2A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F2D5E"/>
    <w:multiLevelType w:val="hybridMultilevel"/>
    <w:tmpl w:val="7552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2346A"/>
    <w:multiLevelType w:val="hybridMultilevel"/>
    <w:tmpl w:val="ECF0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26FCB"/>
    <w:multiLevelType w:val="hybridMultilevel"/>
    <w:tmpl w:val="FB1A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65288"/>
    <w:multiLevelType w:val="hybridMultilevel"/>
    <w:tmpl w:val="042A26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301816"/>
    <w:multiLevelType w:val="hybridMultilevel"/>
    <w:tmpl w:val="61AC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0144B3"/>
    <w:multiLevelType w:val="hybridMultilevel"/>
    <w:tmpl w:val="B932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0E1AF1"/>
    <w:multiLevelType w:val="hybridMultilevel"/>
    <w:tmpl w:val="8F46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0B2DAB"/>
    <w:multiLevelType w:val="hybridMultilevel"/>
    <w:tmpl w:val="7AA69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7"/>
  </w:num>
  <w:num w:numId="5">
    <w:abstractNumId w:val="3"/>
  </w:num>
  <w:num w:numId="6">
    <w:abstractNumId w:val="9"/>
  </w:num>
  <w:num w:numId="7">
    <w:abstractNumId w:val="8"/>
  </w:num>
  <w:num w:numId="8">
    <w:abstractNumId w:val="5"/>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B1"/>
    <w:rsid w:val="00012927"/>
    <w:rsid w:val="00021479"/>
    <w:rsid w:val="0007240A"/>
    <w:rsid w:val="00080358"/>
    <w:rsid w:val="0009244B"/>
    <w:rsid w:val="000B6716"/>
    <w:rsid w:val="000C219E"/>
    <w:rsid w:val="000C4FDF"/>
    <w:rsid w:val="000D2808"/>
    <w:rsid w:val="001244ED"/>
    <w:rsid w:val="00144247"/>
    <w:rsid w:val="00164A98"/>
    <w:rsid w:val="00177020"/>
    <w:rsid w:val="00180BC9"/>
    <w:rsid w:val="001B7466"/>
    <w:rsid w:val="001D52E3"/>
    <w:rsid w:val="001D594C"/>
    <w:rsid w:val="001E1D09"/>
    <w:rsid w:val="001E633B"/>
    <w:rsid w:val="001E7E8C"/>
    <w:rsid w:val="00241296"/>
    <w:rsid w:val="0025120F"/>
    <w:rsid w:val="00253893"/>
    <w:rsid w:val="00272DF7"/>
    <w:rsid w:val="00286D73"/>
    <w:rsid w:val="002971F3"/>
    <w:rsid w:val="002C00FB"/>
    <w:rsid w:val="002D535B"/>
    <w:rsid w:val="002F073D"/>
    <w:rsid w:val="00301BB3"/>
    <w:rsid w:val="003035F2"/>
    <w:rsid w:val="003225D4"/>
    <w:rsid w:val="00371CCF"/>
    <w:rsid w:val="00386616"/>
    <w:rsid w:val="0039673E"/>
    <w:rsid w:val="003A101A"/>
    <w:rsid w:val="003C2EE1"/>
    <w:rsid w:val="003C6232"/>
    <w:rsid w:val="003E4D3A"/>
    <w:rsid w:val="003F228F"/>
    <w:rsid w:val="003F2AD2"/>
    <w:rsid w:val="003F4FE8"/>
    <w:rsid w:val="003F687A"/>
    <w:rsid w:val="004063C1"/>
    <w:rsid w:val="00407383"/>
    <w:rsid w:val="00407B6F"/>
    <w:rsid w:val="00422B39"/>
    <w:rsid w:val="00445131"/>
    <w:rsid w:val="004626BB"/>
    <w:rsid w:val="00466E6F"/>
    <w:rsid w:val="00467EF4"/>
    <w:rsid w:val="00484809"/>
    <w:rsid w:val="00485321"/>
    <w:rsid w:val="004A4637"/>
    <w:rsid w:val="004A72A8"/>
    <w:rsid w:val="004C10DA"/>
    <w:rsid w:val="004F0E04"/>
    <w:rsid w:val="004F518E"/>
    <w:rsid w:val="004F6F53"/>
    <w:rsid w:val="00512EBD"/>
    <w:rsid w:val="00514AFE"/>
    <w:rsid w:val="00553840"/>
    <w:rsid w:val="0058219B"/>
    <w:rsid w:val="00582C47"/>
    <w:rsid w:val="005929C0"/>
    <w:rsid w:val="005A4F9E"/>
    <w:rsid w:val="005C1DCA"/>
    <w:rsid w:val="005D2FCA"/>
    <w:rsid w:val="005D3B25"/>
    <w:rsid w:val="005E71A1"/>
    <w:rsid w:val="006013D2"/>
    <w:rsid w:val="00621CDC"/>
    <w:rsid w:val="00627CF4"/>
    <w:rsid w:val="0064212A"/>
    <w:rsid w:val="006479BA"/>
    <w:rsid w:val="0065576F"/>
    <w:rsid w:val="00661526"/>
    <w:rsid w:val="00661BFB"/>
    <w:rsid w:val="006727A1"/>
    <w:rsid w:val="0068655B"/>
    <w:rsid w:val="006923F1"/>
    <w:rsid w:val="006B203A"/>
    <w:rsid w:val="006C2AED"/>
    <w:rsid w:val="006C5470"/>
    <w:rsid w:val="006D606E"/>
    <w:rsid w:val="0070077C"/>
    <w:rsid w:val="007147AC"/>
    <w:rsid w:val="00724577"/>
    <w:rsid w:val="007909FB"/>
    <w:rsid w:val="007A7A94"/>
    <w:rsid w:val="007B7983"/>
    <w:rsid w:val="007C2270"/>
    <w:rsid w:val="007C3A48"/>
    <w:rsid w:val="007C5B1F"/>
    <w:rsid w:val="008258C3"/>
    <w:rsid w:val="00830CD2"/>
    <w:rsid w:val="00831FE4"/>
    <w:rsid w:val="00872FF4"/>
    <w:rsid w:val="008845A1"/>
    <w:rsid w:val="008A657A"/>
    <w:rsid w:val="0092329B"/>
    <w:rsid w:val="009268FD"/>
    <w:rsid w:val="009355A4"/>
    <w:rsid w:val="00944A48"/>
    <w:rsid w:val="0096034E"/>
    <w:rsid w:val="00965373"/>
    <w:rsid w:val="00973704"/>
    <w:rsid w:val="0098583C"/>
    <w:rsid w:val="009907E9"/>
    <w:rsid w:val="009A11E5"/>
    <w:rsid w:val="009B2CBB"/>
    <w:rsid w:val="009B636E"/>
    <w:rsid w:val="009B7A77"/>
    <w:rsid w:val="009E0A2E"/>
    <w:rsid w:val="009F059C"/>
    <w:rsid w:val="00A12294"/>
    <w:rsid w:val="00A16CB2"/>
    <w:rsid w:val="00A2614B"/>
    <w:rsid w:val="00A52569"/>
    <w:rsid w:val="00A714F7"/>
    <w:rsid w:val="00A8065E"/>
    <w:rsid w:val="00A86F73"/>
    <w:rsid w:val="00AA4B5E"/>
    <w:rsid w:val="00AC33FC"/>
    <w:rsid w:val="00AF16DB"/>
    <w:rsid w:val="00AF5365"/>
    <w:rsid w:val="00B13772"/>
    <w:rsid w:val="00B25E0E"/>
    <w:rsid w:val="00B306C4"/>
    <w:rsid w:val="00B36FC3"/>
    <w:rsid w:val="00B43DE4"/>
    <w:rsid w:val="00B701C7"/>
    <w:rsid w:val="00B84EF3"/>
    <w:rsid w:val="00B907FA"/>
    <w:rsid w:val="00BA13F1"/>
    <w:rsid w:val="00BA37C6"/>
    <w:rsid w:val="00BA4445"/>
    <w:rsid w:val="00BA74C6"/>
    <w:rsid w:val="00BD38DB"/>
    <w:rsid w:val="00BD6421"/>
    <w:rsid w:val="00BF1F9E"/>
    <w:rsid w:val="00BF412F"/>
    <w:rsid w:val="00C163A0"/>
    <w:rsid w:val="00C171C5"/>
    <w:rsid w:val="00C22874"/>
    <w:rsid w:val="00C2474C"/>
    <w:rsid w:val="00C468A8"/>
    <w:rsid w:val="00C4776B"/>
    <w:rsid w:val="00C56536"/>
    <w:rsid w:val="00C6518C"/>
    <w:rsid w:val="00CB22E1"/>
    <w:rsid w:val="00CB674F"/>
    <w:rsid w:val="00CC1AB1"/>
    <w:rsid w:val="00CD42D3"/>
    <w:rsid w:val="00CD6D9D"/>
    <w:rsid w:val="00D011E9"/>
    <w:rsid w:val="00D37D0A"/>
    <w:rsid w:val="00D407FD"/>
    <w:rsid w:val="00D4574E"/>
    <w:rsid w:val="00D755D8"/>
    <w:rsid w:val="00D906A5"/>
    <w:rsid w:val="00D957A8"/>
    <w:rsid w:val="00DA78D4"/>
    <w:rsid w:val="00DB023A"/>
    <w:rsid w:val="00DC27E1"/>
    <w:rsid w:val="00E36F66"/>
    <w:rsid w:val="00E41C30"/>
    <w:rsid w:val="00E44A96"/>
    <w:rsid w:val="00E52A42"/>
    <w:rsid w:val="00E54BD6"/>
    <w:rsid w:val="00E70809"/>
    <w:rsid w:val="00E74303"/>
    <w:rsid w:val="00E815BA"/>
    <w:rsid w:val="00E935B5"/>
    <w:rsid w:val="00EA17B5"/>
    <w:rsid w:val="00EA1C7F"/>
    <w:rsid w:val="00EA4C63"/>
    <w:rsid w:val="00EB5E59"/>
    <w:rsid w:val="00EB7909"/>
    <w:rsid w:val="00ED6F63"/>
    <w:rsid w:val="00F067CA"/>
    <w:rsid w:val="00F34AAA"/>
    <w:rsid w:val="00F6793E"/>
    <w:rsid w:val="00F74219"/>
    <w:rsid w:val="00F76480"/>
    <w:rsid w:val="00F76A92"/>
    <w:rsid w:val="00F903B5"/>
    <w:rsid w:val="00F97B86"/>
    <w:rsid w:val="00FC1E76"/>
    <w:rsid w:val="00FD62F3"/>
    <w:rsid w:val="00FF1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0521"/>
  <w15:chartTrackingRefBased/>
  <w15:docId w15:val="{D98A5F8F-9450-4A58-BEF8-BCA40DB9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ece656-0528-402e-8958-c6c815524333">
      <Terms xmlns="http://schemas.microsoft.com/office/infopath/2007/PartnerControls"/>
    </lcf76f155ced4ddcb4097134ff3c332f>
    <TaxCatchAll xmlns="14ef3b5f-6ca1-4c1c-a353-a1c338ccc666" xsi:nil="true"/>
    <_dlc_DocId xmlns="14ef3b5f-6ca1-4c1c-a353-a1c338ccc666">SXJZJSQ2YJM5-499006958-3544583</_dlc_DocId>
    <_dlc_DocIdUrl xmlns="14ef3b5f-6ca1-4c1c-a353-a1c338ccc666">
      <Url>https://antsertech.sharepoint.com/sites/TriXData2/_layouts/15/DocIdRedir.aspx?ID=SXJZJSQ2YJM5-499006958-3544583</Url>
      <Description>SXJZJSQ2YJM5-499006958-3544583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7" ma:contentTypeDescription="Create a new document." ma:contentTypeScope="" ma:versionID="42a28120efc97b41a2ab4a7ee148ce26">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6617d3b75c39ac4e17ddf2b6b778af51"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9372E5-BA82-4298-B202-0B1084DBC5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57250B-4D44-41DC-BD7B-C44E8926872C}">
  <ds:schemaRefs>
    <ds:schemaRef ds:uri="http://schemas.microsoft.com/sharepoint/v3/contenttype/forms"/>
  </ds:schemaRefs>
</ds:datastoreItem>
</file>

<file path=customXml/itemProps3.xml><?xml version="1.0" encoding="utf-8"?>
<ds:datastoreItem xmlns:ds="http://schemas.openxmlformats.org/officeDocument/2006/customXml" ds:itemID="{76A6C91D-4122-4BD3-8285-7140C059F7FF}"/>
</file>

<file path=customXml/itemProps4.xml><?xml version="1.0" encoding="utf-8"?>
<ds:datastoreItem xmlns:ds="http://schemas.openxmlformats.org/officeDocument/2006/customXml" ds:itemID="{45A394A4-D092-4E74-8437-2C036FB31E44}"/>
</file>

<file path=docProps/app.xml><?xml version="1.0" encoding="utf-8"?>
<Properties xmlns="http://schemas.openxmlformats.org/officeDocument/2006/extended-properties" xmlns:vt="http://schemas.openxmlformats.org/officeDocument/2006/docPropsVTypes">
  <Template>Normal</Template>
  <TotalTime>349</TotalTime>
  <Pages>4</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Collyer, Paul</dc:creator>
  <cp:keywords/>
  <dc:description/>
  <cp:lastModifiedBy>Collyer, Paul</cp:lastModifiedBy>
  <cp:revision>182</cp:revision>
  <cp:lastPrinted>2019-12-17T17:02:00Z</cp:lastPrinted>
  <dcterms:created xsi:type="dcterms:W3CDTF">2019-09-16T08:19:00Z</dcterms:created>
  <dcterms:modified xsi:type="dcterms:W3CDTF">2020-12-11T13:33:00Z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_dlc_DocIdItemGuid">
    <vt:lpwstr>a9525c59-c317-4cef-8cc6-9ef6b4c5197f</vt:lpwstr>
  </property>
</Properties>
</file>