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FF2D" w14:textId="77777777" w:rsidR="0051709A" w:rsidRDefault="0051709A"/>
    <w:p w14:paraId="5CDF4A2E" w14:textId="77777777" w:rsidR="00BE476B" w:rsidRDefault="00BE476B" w:rsidP="00BE476B">
      <w:pPr>
        <w:rPr>
          <w:b/>
          <w:bCs/>
        </w:rPr>
      </w:pPr>
    </w:p>
    <w:p w14:paraId="767A3DF1" w14:textId="77777777" w:rsidR="00F36E86" w:rsidRDefault="00F36E86" w:rsidP="00F36E86">
      <w:pPr>
        <w:jc w:val="center"/>
        <w:rPr>
          <w:b/>
          <w:bCs/>
        </w:rPr>
      </w:pPr>
      <w:r w:rsidRPr="00E748BF">
        <w:rPr>
          <w:b/>
          <w:bCs/>
          <w:sz w:val="40"/>
          <w:szCs w:val="40"/>
        </w:rPr>
        <w:t>Permanence Planning Guidance</w:t>
      </w:r>
    </w:p>
    <w:p w14:paraId="4AA74C86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1. Purpose &amp; Vision</w:t>
      </w:r>
    </w:p>
    <w:p w14:paraId="0F2F81D5" w14:textId="77777777" w:rsidR="00F36E86" w:rsidRDefault="00F36E86" w:rsidP="00F36E86">
      <w:pPr>
        <w:rPr>
          <w:rFonts w:ascii="Segoe UI Emoji" w:hAnsi="Segoe UI Emoji" w:cs="Segoe UI Emoji"/>
          <w:b/>
          <w:bCs/>
        </w:rPr>
      </w:pPr>
      <w:r w:rsidRPr="002C1FA2">
        <w:t xml:space="preserve">Wiltshire’s approach to permanence planning is rooted in the belief that every child deserves a stable, loving, and enduring home. This guidance is designed to ensure that children who cannot live with their birth families are provided with long-term, secure arrangements that support their emotional, social, and developmental needs. The aim is to </w:t>
      </w:r>
      <w:r>
        <w:t xml:space="preserve">create </w:t>
      </w:r>
      <w:r w:rsidRPr="002C1FA2">
        <w:t xml:space="preserve">stability, </w:t>
      </w:r>
      <w:r>
        <w:t>enable recovery</w:t>
      </w:r>
      <w:r w:rsidRPr="002C1FA2">
        <w:t>, and promote lifelong relationships.</w:t>
      </w:r>
    </w:p>
    <w:p w14:paraId="2C9470FE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2. Definition of Permanence</w:t>
      </w:r>
    </w:p>
    <w:p w14:paraId="55BF84FB" w14:textId="77777777" w:rsidR="00F36E86" w:rsidRPr="00634B7C" w:rsidRDefault="00F36E86" w:rsidP="00F36E86">
      <w:r w:rsidRPr="00634B7C">
        <w:t>Permanence is not just about where a child live</w:t>
      </w:r>
      <w:r>
        <w:t xml:space="preserve">s; </w:t>
      </w:r>
      <w:r w:rsidRPr="00634B7C">
        <w:t xml:space="preserve">it’s </w:t>
      </w:r>
      <w:r w:rsidRPr="002930D5">
        <w:t>about security, identity, and belonging.</w:t>
      </w:r>
      <w:r w:rsidRPr="00634B7C">
        <w:t xml:space="preserve"> It includes:</w:t>
      </w:r>
    </w:p>
    <w:p w14:paraId="2F5D80AE" w14:textId="77777777" w:rsidR="00F36E86" w:rsidRPr="00634B7C" w:rsidRDefault="00F36E86" w:rsidP="00F36E86">
      <w:pPr>
        <w:numPr>
          <w:ilvl w:val="0"/>
          <w:numId w:val="9"/>
        </w:numPr>
      </w:pPr>
      <w:r w:rsidRPr="00634B7C">
        <w:rPr>
          <w:b/>
          <w:bCs/>
        </w:rPr>
        <w:t>Legal permanence</w:t>
      </w:r>
      <w:r w:rsidRPr="00634B7C">
        <w:t>: Achieved through legal orders such as Adoption, Special Guardianship Orders (SGOs), or Child Arrangements Orders (CAOs), which provide a stable legal framework.</w:t>
      </w:r>
    </w:p>
    <w:p w14:paraId="311E517A" w14:textId="77777777" w:rsidR="00F36E86" w:rsidRPr="00634B7C" w:rsidRDefault="00F36E86" w:rsidP="00F36E86">
      <w:pPr>
        <w:numPr>
          <w:ilvl w:val="0"/>
          <w:numId w:val="9"/>
        </w:numPr>
      </w:pPr>
      <w:r w:rsidRPr="00634B7C">
        <w:rPr>
          <w:b/>
          <w:bCs/>
        </w:rPr>
        <w:t>Emotional permanence</w:t>
      </w:r>
      <w:r w:rsidRPr="00634B7C">
        <w:t xml:space="preserve">: Ensuring children </w:t>
      </w:r>
      <w:r w:rsidRPr="002C1FA2">
        <w:t>form lasting, secure attachments with caregivers who offer consistent love and support.</w:t>
      </w:r>
    </w:p>
    <w:p w14:paraId="73288CFC" w14:textId="77777777" w:rsidR="00F36E86" w:rsidRPr="00634B7C" w:rsidRDefault="00F36E86" w:rsidP="00F36E86">
      <w:pPr>
        <w:numPr>
          <w:ilvl w:val="0"/>
          <w:numId w:val="9"/>
        </w:numPr>
      </w:pPr>
      <w:r w:rsidRPr="00634B7C">
        <w:rPr>
          <w:b/>
          <w:bCs/>
        </w:rPr>
        <w:t>Physical/environmental permanence</w:t>
      </w:r>
      <w:r w:rsidRPr="00634B7C">
        <w:t xml:space="preserve">: </w:t>
      </w:r>
      <w:r w:rsidRPr="002C1FA2">
        <w:t>Providing a stable home environment in a familiar community, preserving cultural and social connections.</w:t>
      </w:r>
    </w:p>
    <w:p w14:paraId="75B58D50" w14:textId="77777777" w:rsidR="00F36E86" w:rsidRDefault="00F36E86" w:rsidP="00F36E86">
      <w:r w:rsidRPr="00634B7C">
        <w:t>The guidance emphasi</w:t>
      </w:r>
      <w:r>
        <w:t>se</w:t>
      </w:r>
      <w:r w:rsidRPr="00634B7C">
        <w:t>s that </w:t>
      </w:r>
      <w:r w:rsidRPr="002C1FA2">
        <w:t>removal from family should be temporary</w:t>
      </w:r>
      <w:r w:rsidRPr="00634B7C">
        <w:t xml:space="preserve"> unless </w:t>
      </w:r>
      <w:proofErr w:type="gramStart"/>
      <w:r w:rsidRPr="00634B7C">
        <w:t>absolutely necessary</w:t>
      </w:r>
      <w:proofErr w:type="gramEnd"/>
      <w:r w:rsidRPr="00634B7C">
        <w:t xml:space="preserve">, and </w:t>
      </w:r>
      <w:r w:rsidRPr="002930D5">
        <w:t>that family and friends</w:t>
      </w:r>
      <w:r w:rsidRPr="00634B7C">
        <w:t> should be the first consideration for alternative care.</w:t>
      </w:r>
      <w:r>
        <w:t xml:space="preserve"> Reunification will remain an active consideration, if this is considered in the best interests of the child. </w:t>
      </w:r>
    </w:p>
    <w:p w14:paraId="50FB3A4F" w14:textId="77777777" w:rsidR="00F36E86" w:rsidRPr="002C1FA2" w:rsidRDefault="00F36E86" w:rsidP="00F36E86">
      <w:r w:rsidRPr="00634B7C">
        <w:rPr>
          <w:b/>
          <w:bCs/>
        </w:rPr>
        <w:t> 3. Core Principles</w:t>
      </w:r>
    </w:p>
    <w:p w14:paraId="50F8D977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3.1 Child-Centred and Relational</w:t>
      </w:r>
    </w:p>
    <w:p w14:paraId="75BB923A" w14:textId="77777777" w:rsidR="00F36E86" w:rsidRPr="002C1FA2" w:rsidRDefault="00F36E86" w:rsidP="00F36E86">
      <w:r w:rsidRPr="002C1FA2">
        <w:t>Children’s voices are central. Planning must be led by their experiences, wishes, and feelings, with a strong emphasis on building and maintaining trusting relationships between children, carers, and professionals.</w:t>
      </w:r>
    </w:p>
    <w:p w14:paraId="37E5BFC5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3.2 Strengths-Based and Restorative</w:t>
      </w:r>
    </w:p>
    <w:p w14:paraId="03FAB66C" w14:textId="77777777" w:rsidR="00F36E86" w:rsidRPr="002C1FA2" w:rsidRDefault="00F36E86" w:rsidP="00F36E86">
      <w:r>
        <w:t>We focu</w:t>
      </w:r>
      <w:r w:rsidRPr="002C1FA2">
        <w:t xml:space="preserve">s on what’s working well in a child’s life. Rather than focusing solely on problems, </w:t>
      </w:r>
      <w:r>
        <w:t>our</w:t>
      </w:r>
      <w:r w:rsidRPr="002C1FA2">
        <w:t xml:space="preserve"> approach builds on resilience, strengths, and potential</w:t>
      </w:r>
      <w:r>
        <w:t xml:space="preserve">, </w:t>
      </w:r>
      <w:r w:rsidRPr="002C1FA2">
        <w:t>both in children and their support networks.</w:t>
      </w:r>
    </w:p>
    <w:p w14:paraId="4434F625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3.3 Systemic and Collaborative</w:t>
      </w:r>
    </w:p>
    <w:p w14:paraId="3ED3CA06" w14:textId="77777777" w:rsidR="00F36E86" w:rsidRDefault="00F36E86" w:rsidP="00F36E86">
      <w:r>
        <w:t>We re</w:t>
      </w:r>
      <w:r w:rsidRPr="00634B7C">
        <w:t>cogni</w:t>
      </w:r>
      <w:r>
        <w:t>s</w:t>
      </w:r>
      <w:r w:rsidRPr="00634B7C">
        <w:t>e that children’s lives are influenced by </w:t>
      </w:r>
      <w:r w:rsidRPr="002C1FA2">
        <w:t>multiple systems</w:t>
      </w:r>
      <w:r>
        <w:t xml:space="preserve"> (</w:t>
      </w:r>
      <w:r w:rsidRPr="00634B7C">
        <w:t>family, education, health, and community</w:t>
      </w:r>
      <w:r>
        <w:t xml:space="preserve">). </w:t>
      </w:r>
      <w:r w:rsidRPr="00634B7C">
        <w:t xml:space="preserve"> Effective </w:t>
      </w:r>
      <w:r w:rsidRPr="002C1FA2">
        <w:t>permanence planning requires multi-agency collaboration to ensure holistic support.</w:t>
      </w:r>
    </w:p>
    <w:p w14:paraId="378123A1" w14:textId="77777777" w:rsidR="00F36E86" w:rsidRDefault="00F36E86" w:rsidP="00F36E86"/>
    <w:p w14:paraId="7925601F" w14:textId="77777777" w:rsidR="00F36E86" w:rsidRDefault="00F36E86" w:rsidP="00F36E86"/>
    <w:p w14:paraId="63440EBD" w14:textId="77777777" w:rsidR="00F36E86" w:rsidRDefault="00F36E86" w:rsidP="00F36E86"/>
    <w:p w14:paraId="36D21521" w14:textId="77777777" w:rsidR="00F36E86" w:rsidRPr="00634B7C" w:rsidRDefault="00F36E86" w:rsidP="00F36E86"/>
    <w:p w14:paraId="5DFA2730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3.4 Inclusive and Accessible</w:t>
      </w:r>
    </w:p>
    <w:p w14:paraId="60BE4290" w14:textId="77777777" w:rsidR="00F36E86" w:rsidRPr="002C1FA2" w:rsidRDefault="00F36E86" w:rsidP="00F36E86">
      <w:r w:rsidRPr="002C1FA2">
        <w:t>We work to ensure that all children, including those with disabilities or protected characteristics, receive equitable support. The process must be transparent, fair, and accessible to all involved.</w:t>
      </w:r>
    </w:p>
    <w:p w14:paraId="7E0C7E40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4. Objectives of Permanence Planning</w:t>
      </w:r>
    </w:p>
    <w:p w14:paraId="40546BB0" w14:textId="77777777" w:rsidR="00F36E86" w:rsidRPr="00634B7C" w:rsidRDefault="00F36E86" w:rsidP="00F36E86">
      <w:r w:rsidRPr="00634B7C">
        <w:t>The guidance outlines four key objectives:</w:t>
      </w:r>
    </w:p>
    <w:p w14:paraId="01B42452" w14:textId="77777777" w:rsidR="00F36E86" w:rsidRPr="00634B7C" w:rsidRDefault="00F36E86" w:rsidP="00F36E86">
      <w:pPr>
        <w:numPr>
          <w:ilvl w:val="0"/>
          <w:numId w:val="10"/>
        </w:numPr>
      </w:pPr>
      <w:r w:rsidRPr="00634B7C">
        <w:rPr>
          <w:b/>
          <w:bCs/>
        </w:rPr>
        <w:t>Stability</w:t>
      </w:r>
      <w:r>
        <w:t xml:space="preserve"> - </w:t>
      </w:r>
      <w:r w:rsidRPr="00634B7C">
        <w:t>Providing a consistent, loving home throughout childhood and beyond.</w:t>
      </w:r>
    </w:p>
    <w:p w14:paraId="76E2080C" w14:textId="77777777" w:rsidR="00F36E86" w:rsidRPr="00634B7C" w:rsidRDefault="00F36E86" w:rsidP="00F36E86">
      <w:pPr>
        <w:numPr>
          <w:ilvl w:val="0"/>
          <w:numId w:val="10"/>
        </w:numPr>
      </w:pPr>
      <w:r w:rsidRPr="00634B7C">
        <w:rPr>
          <w:b/>
          <w:bCs/>
        </w:rPr>
        <w:t>Timeliness</w:t>
      </w:r>
      <w:r>
        <w:t xml:space="preserve"> - </w:t>
      </w:r>
      <w:r w:rsidRPr="00634B7C">
        <w:t>Avoiding drift and delay by making </w:t>
      </w:r>
      <w:r w:rsidRPr="002C1FA2">
        <w:t>early, decisive plans.</w:t>
      </w:r>
    </w:p>
    <w:p w14:paraId="585B9F49" w14:textId="77777777" w:rsidR="00F36E86" w:rsidRPr="00634B7C" w:rsidRDefault="00F36E86" w:rsidP="00F36E86">
      <w:pPr>
        <w:numPr>
          <w:ilvl w:val="0"/>
          <w:numId w:val="10"/>
        </w:numPr>
      </w:pPr>
      <w:r w:rsidRPr="00634B7C">
        <w:rPr>
          <w:b/>
          <w:bCs/>
        </w:rPr>
        <w:t>Identity and Belonging</w:t>
      </w:r>
      <w:r>
        <w:t xml:space="preserve"> -</w:t>
      </w:r>
      <w:r w:rsidRPr="00634B7C">
        <w:t xml:space="preserve"> </w:t>
      </w:r>
      <w:r w:rsidRPr="002C1FA2">
        <w:t>Supporting children to develop a strong sense of self and connection to their heritage</w:t>
      </w:r>
      <w:r>
        <w:t xml:space="preserve"> and community</w:t>
      </w:r>
      <w:r w:rsidRPr="002C1FA2">
        <w:t>.</w:t>
      </w:r>
    </w:p>
    <w:p w14:paraId="4DFA85B7" w14:textId="77777777" w:rsidR="00F36E86" w:rsidRDefault="00F36E86" w:rsidP="00F36E86">
      <w:pPr>
        <w:numPr>
          <w:ilvl w:val="0"/>
          <w:numId w:val="10"/>
        </w:numPr>
      </w:pPr>
      <w:r w:rsidRPr="00634B7C">
        <w:rPr>
          <w:b/>
          <w:bCs/>
        </w:rPr>
        <w:t>Participation</w:t>
      </w:r>
      <w:r>
        <w:t xml:space="preserve"> - </w:t>
      </w:r>
      <w:r w:rsidRPr="002C1FA2">
        <w:t>ensuring children and families are actively involved in planning, with their views respected and considered.</w:t>
      </w:r>
    </w:p>
    <w:p w14:paraId="1EE8A14A" w14:textId="77777777" w:rsidR="00F36E86" w:rsidRPr="002C1FA2" w:rsidRDefault="00F36E86" w:rsidP="00F36E86">
      <w:r w:rsidRPr="002C1FA2">
        <w:rPr>
          <w:b/>
          <w:bCs/>
        </w:rPr>
        <w:t>5. Permanence Options</w:t>
      </w:r>
    </w:p>
    <w:p w14:paraId="5D804542" w14:textId="77777777" w:rsidR="00F36E86" w:rsidRPr="002C1FA2" w:rsidRDefault="00F36E86" w:rsidP="00F36E86">
      <w:r w:rsidRPr="002C1FA2">
        <w:t>The guidance outlines a range of permanence options, each with its own legal, emotional, and practical implications:</w:t>
      </w:r>
    </w:p>
    <w:p w14:paraId="1CEDE9B8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5.1 Return to Birth Family</w:t>
      </w:r>
      <w:r>
        <w:rPr>
          <w:b/>
          <w:bCs/>
        </w:rPr>
        <w:t xml:space="preserve"> (refer to Reunification Policy)</w:t>
      </w:r>
    </w:p>
    <w:p w14:paraId="6E2BEB2B" w14:textId="77777777" w:rsidR="00F36E86" w:rsidRPr="002C1FA2" w:rsidRDefault="00F36E86" w:rsidP="00F36E86">
      <w:pPr>
        <w:numPr>
          <w:ilvl w:val="0"/>
          <w:numId w:val="11"/>
        </w:numPr>
      </w:pPr>
      <w:r w:rsidRPr="002C1FA2">
        <w:t>Always the preferred option if safe and achievable.</w:t>
      </w:r>
    </w:p>
    <w:p w14:paraId="25E9BAB9" w14:textId="77777777" w:rsidR="00F36E86" w:rsidRPr="002C1FA2" w:rsidRDefault="00F36E86" w:rsidP="00F36E86">
      <w:pPr>
        <w:numPr>
          <w:ilvl w:val="0"/>
          <w:numId w:val="11"/>
        </w:numPr>
      </w:pPr>
      <w:r w:rsidRPr="002C1FA2">
        <w:t>Requires evidence-based assessments and support plans.</w:t>
      </w:r>
    </w:p>
    <w:p w14:paraId="12AD067A" w14:textId="77777777" w:rsidR="00F36E86" w:rsidRPr="002C1FA2" w:rsidRDefault="00F36E86" w:rsidP="00F36E86">
      <w:pPr>
        <w:numPr>
          <w:ilvl w:val="0"/>
          <w:numId w:val="11"/>
        </w:numPr>
      </w:pPr>
      <w:r w:rsidRPr="002C1FA2">
        <w:t>Family Group Conferences are encouraged to explore support networks.</w:t>
      </w:r>
    </w:p>
    <w:p w14:paraId="12DE43CD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5.2 Family or Friends/Connected Persons</w:t>
      </w:r>
    </w:p>
    <w:p w14:paraId="73DBBBE7" w14:textId="77777777" w:rsidR="00F36E86" w:rsidRPr="002C1FA2" w:rsidRDefault="00F36E86" w:rsidP="00F36E86">
      <w:pPr>
        <w:numPr>
          <w:ilvl w:val="0"/>
          <w:numId w:val="12"/>
        </w:numPr>
      </w:pPr>
      <w:r w:rsidRPr="002C1FA2">
        <w:t>Prioritises kinship care to maintain family ties.</w:t>
      </w:r>
    </w:p>
    <w:p w14:paraId="4FC4821B" w14:textId="77777777" w:rsidR="00F36E86" w:rsidRPr="002C1FA2" w:rsidRDefault="00F36E86" w:rsidP="00F36E86">
      <w:pPr>
        <w:numPr>
          <w:ilvl w:val="0"/>
          <w:numId w:val="12"/>
        </w:numPr>
      </w:pPr>
      <w:r w:rsidRPr="002C1FA2">
        <w:t>Legal options include SGOs, CAOs, or Adoption.</w:t>
      </w:r>
    </w:p>
    <w:p w14:paraId="40C022F2" w14:textId="77777777" w:rsidR="00F36E86" w:rsidRPr="002C1FA2" w:rsidRDefault="00F36E86" w:rsidP="00F36E86">
      <w:pPr>
        <w:numPr>
          <w:ilvl w:val="0"/>
          <w:numId w:val="12"/>
        </w:numPr>
      </w:pPr>
      <w:r w:rsidRPr="002C1FA2">
        <w:t>Regulation 24 placements (temporary fostering by relatives) are used only in exceptional cases.</w:t>
      </w:r>
    </w:p>
    <w:p w14:paraId="26096F4A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5.3 Adoption</w:t>
      </w:r>
    </w:p>
    <w:p w14:paraId="52FF2766" w14:textId="77777777" w:rsidR="00F36E86" w:rsidRPr="002C1FA2" w:rsidRDefault="00F36E86" w:rsidP="00F36E86">
      <w:pPr>
        <w:numPr>
          <w:ilvl w:val="0"/>
          <w:numId w:val="13"/>
        </w:numPr>
      </w:pPr>
      <w:r w:rsidRPr="002C1FA2">
        <w:t>Offers complete legal transfer of parental responsibility.</w:t>
      </w:r>
    </w:p>
    <w:p w14:paraId="219752C4" w14:textId="77777777" w:rsidR="00F36E86" w:rsidRPr="002C1FA2" w:rsidRDefault="00F36E86" w:rsidP="00F36E86">
      <w:pPr>
        <w:numPr>
          <w:ilvl w:val="0"/>
          <w:numId w:val="13"/>
        </w:numPr>
      </w:pPr>
      <w:r w:rsidRPr="002C1FA2">
        <w:t>Best suited for younger children where reunification is not possible.</w:t>
      </w:r>
    </w:p>
    <w:p w14:paraId="454EF375" w14:textId="77777777" w:rsidR="00F36E86" w:rsidRPr="002C1FA2" w:rsidRDefault="00F36E86" w:rsidP="00F36E86">
      <w:pPr>
        <w:numPr>
          <w:ilvl w:val="0"/>
          <w:numId w:val="13"/>
        </w:numPr>
      </w:pPr>
      <w:r w:rsidRPr="002C1FA2">
        <w:t>Provides permanence and legal security but severs ties with birth family.</w:t>
      </w:r>
    </w:p>
    <w:p w14:paraId="00DEA992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5.4 Special Guardianship Orders (SGOs)</w:t>
      </w:r>
    </w:p>
    <w:p w14:paraId="791C0640" w14:textId="77777777" w:rsidR="00F36E86" w:rsidRPr="002C1FA2" w:rsidRDefault="00F36E86" w:rsidP="00F36E86">
      <w:pPr>
        <w:numPr>
          <w:ilvl w:val="0"/>
          <w:numId w:val="14"/>
        </w:numPr>
      </w:pPr>
      <w:r w:rsidRPr="002C1FA2">
        <w:t>Grants shared parental responsibility to a guardian (usually a relative).</w:t>
      </w:r>
    </w:p>
    <w:p w14:paraId="48C1B6DB" w14:textId="365E3C44" w:rsidR="00F36E86" w:rsidRPr="002C1FA2" w:rsidRDefault="00F36E86" w:rsidP="00F36E86">
      <w:pPr>
        <w:numPr>
          <w:ilvl w:val="0"/>
          <w:numId w:val="14"/>
        </w:numPr>
      </w:pPr>
      <w:r w:rsidRPr="002C1FA2">
        <w:t>Offers legal stability while maintaining some birth family links.</w:t>
      </w:r>
    </w:p>
    <w:p w14:paraId="0C404678" w14:textId="77777777" w:rsidR="00F36E86" w:rsidRDefault="00F36E86" w:rsidP="00F36E86">
      <w:pPr>
        <w:numPr>
          <w:ilvl w:val="0"/>
          <w:numId w:val="14"/>
        </w:numPr>
      </w:pPr>
      <w:r w:rsidRPr="002C1FA2">
        <w:t>Less intrusive than adoption, but not as permanent.</w:t>
      </w:r>
    </w:p>
    <w:p w14:paraId="6370ADBC" w14:textId="77777777" w:rsidR="00857A8A" w:rsidRDefault="00857A8A" w:rsidP="00857A8A"/>
    <w:p w14:paraId="6B71D54F" w14:textId="77777777" w:rsidR="00857A8A" w:rsidRPr="002C1FA2" w:rsidRDefault="00857A8A" w:rsidP="00857A8A"/>
    <w:p w14:paraId="18DC29BC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5.5 Child Arrangements Orders (CAOs)</w:t>
      </w:r>
    </w:p>
    <w:p w14:paraId="5139D75B" w14:textId="77777777" w:rsidR="00F36E86" w:rsidRPr="002C1FA2" w:rsidRDefault="00F36E86" w:rsidP="00F36E86">
      <w:pPr>
        <w:numPr>
          <w:ilvl w:val="0"/>
          <w:numId w:val="15"/>
        </w:numPr>
      </w:pPr>
      <w:r w:rsidRPr="002C1FA2">
        <w:t>Determines who the child lives with and contact arrangements.</w:t>
      </w:r>
    </w:p>
    <w:p w14:paraId="33079188" w14:textId="77777777" w:rsidR="00F36E86" w:rsidRPr="002C1FA2" w:rsidRDefault="00F36E86" w:rsidP="00F36E86">
      <w:pPr>
        <w:numPr>
          <w:ilvl w:val="0"/>
          <w:numId w:val="15"/>
        </w:numPr>
      </w:pPr>
      <w:r w:rsidRPr="002C1FA2">
        <w:t>Maintains legal ties with birth parents.</w:t>
      </w:r>
    </w:p>
    <w:p w14:paraId="4466CF38" w14:textId="77777777" w:rsidR="00F36E86" w:rsidRPr="002C1FA2" w:rsidRDefault="00F36E86" w:rsidP="00F36E86">
      <w:pPr>
        <w:numPr>
          <w:ilvl w:val="0"/>
          <w:numId w:val="15"/>
        </w:numPr>
      </w:pPr>
      <w:r w:rsidRPr="002C1FA2">
        <w:t>Offers less legal security than SGOs or adoption.</w:t>
      </w:r>
    </w:p>
    <w:p w14:paraId="372875C1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5.6 Long-Term Foster Care</w:t>
      </w:r>
    </w:p>
    <w:p w14:paraId="263A41DC" w14:textId="77777777" w:rsidR="00F36E86" w:rsidRPr="002C1FA2" w:rsidRDefault="00F36E86" w:rsidP="00F36E86">
      <w:pPr>
        <w:numPr>
          <w:ilvl w:val="0"/>
          <w:numId w:val="16"/>
        </w:numPr>
      </w:pPr>
      <w:r w:rsidRPr="002C1FA2">
        <w:t>Suitable for older children who may not want adoption.</w:t>
      </w:r>
    </w:p>
    <w:p w14:paraId="23FD591C" w14:textId="77777777" w:rsidR="00F36E86" w:rsidRPr="002C1FA2" w:rsidRDefault="00F36E86" w:rsidP="00F36E86">
      <w:pPr>
        <w:numPr>
          <w:ilvl w:val="0"/>
          <w:numId w:val="16"/>
        </w:numPr>
      </w:pPr>
      <w:r w:rsidRPr="002C1FA2">
        <w:t>Maintains local authority involvement and birth family links.</w:t>
      </w:r>
    </w:p>
    <w:p w14:paraId="495045E3" w14:textId="77777777" w:rsidR="00F36E86" w:rsidRPr="002C1FA2" w:rsidRDefault="00F36E86" w:rsidP="00F36E86">
      <w:pPr>
        <w:numPr>
          <w:ilvl w:val="0"/>
          <w:numId w:val="16"/>
        </w:numPr>
      </w:pPr>
      <w:r w:rsidRPr="002C1FA2">
        <w:t>Can lack the legal permanence and emotional security of other options.</w:t>
      </w:r>
    </w:p>
    <w:p w14:paraId="2795F094" w14:textId="77777777" w:rsidR="00F36E86" w:rsidRPr="002C1FA2" w:rsidRDefault="00F36E86" w:rsidP="00F36E86">
      <w:pPr>
        <w:pStyle w:val="ListParagraph"/>
        <w:numPr>
          <w:ilvl w:val="1"/>
          <w:numId w:val="23"/>
        </w:numPr>
        <w:rPr>
          <w:b/>
          <w:bCs/>
        </w:rPr>
      </w:pPr>
      <w:r w:rsidRPr="002C1FA2">
        <w:rPr>
          <w:b/>
          <w:bCs/>
        </w:rPr>
        <w:t>Residential Care</w:t>
      </w:r>
    </w:p>
    <w:p w14:paraId="3E3B32CF" w14:textId="77777777" w:rsidR="00F36E86" w:rsidRPr="002930D5" w:rsidRDefault="00F36E86" w:rsidP="00F36E86">
      <w:pPr>
        <w:numPr>
          <w:ilvl w:val="0"/>
          <w:numId w:val="17"/>
        </w:numPr>
        <w:rPr>
          <w:rFonts w:ascii="Segoe UI Emoji" w:hAnsi="Segoe UI Emoji" w:cs="Segoe UI Emoji"/>
          <w:b/>
          <w:bCs/>
        </w:rPr>
      </w:pPr>
      <w:r w:rsidRPr="002C1FA2">
        <w:t>Used only when specialist support is needed</w:t>
      </w:r>
      <w:r>
        <w:t xml:space="preserve"> </w:t>
      </w:r>
      <w:r w:rsidRPr="002C1FA2">
        <w:t>for children with complex needs.</w:t>
      </w:r>
    </w:p>
    <w:p w14:paraId="00190F43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6. Local Placement Emphasis</w:t>
      </w:r>
    </w:p>
    <w:p w14:paraId="5C6B2B92" w14:textId="77777777" w:rsidR="00F36E86" w:rsidRPr="002C1FA2" w:rsidRDefault="00F36E86" w:rsidP="00F36E86">
      <w:r w:rsidRPr="002C1FA2">
        <w:t>Children should be placed locally whenever possible to maintain continuity in:</w:t>
      </w:r>
    </w:p>
    <w:p w14:paraId="16735CA8" w14:textId="77777777" w:rsidR="00F36E86" w:rsidRPr="00634B7C" w:rsidRDefault="00F36E86" w:rsidP="00F36E86">
      <w:pPr>
        <w:numPr>
          <w:ilvl w:val="0"/>
          <w:numId w:val="18"/>
        </w:numPr>
      </w:pPr>
      <w:r w:rsidRPr="00634B7C">
        <w:t>Education</w:t>
      </w:r>
    </w:p>
    <w:p w14:paraId="62B64743" w14:textId="77777777" w:rsidR="00F36E86" w:rsidRPr="00634B7C" w:rsidRDefault="00F36E86" w:rsidP="00F36E86">
      <w:pPr>
        <w:numPr>
          <w:ilvl w:val="0"/>
          <w:numId w:val="18"/>
        </w:numPr>
      </w:pPr>
      <w:r w:rsidRPr="00634B7C">
        <w:t>Friendships</w:t>
      </w:r>
    </w:p>
    <w:p w14:paraId="05D8B1F5" w14:textId="77777777" w:rsidR="00F36E86" w:rsidRPr="00634B7C" w:rsidRDefault="00F36E86" w:rsidP="00F36E86">
      <w:pPr>
        <w:numPr>
          <w:ilvl w:val="0"/>
          <w:numId w:val="18"/>
        </w:numPr>
      </w:pPr>
      <w:r w:rsidRPr="00634B7C">
        <w:t>Cultural and community ties</w:t>
      </w:r>
    </w:p>
    <w:p w14:paraId="652FA499" w14:textId="77777777" w:rsidR="00F36E86" w:rsidRDefault="00F36E86" w:rsidP="00F36E86">
      <w:pPr>
        <w:rPr>
          <w:rFonts w:ascii="Segoe UI Emoji" w:hAnsi="Segoe UI Emoji" w:cs="Segoe UI Emoji"/>
          <w:b/>
          <w:bCs/>
        </w:rPr>
      </w:pPr>
      <w:r w:rsidRPr="002C1FA2">
        <w:t>Out-of-area placements must be justified and carefully considered for their impact on the child’s identity and well-being.</w:t>
      </w:r>
    </w:p>
    <w:p w14:paraId="6FCA5BF1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7. Assessment &amp; Planning</w:t>
      </w:r>
    </w:p>
    <w:p w14:paraId="41362F00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7.1 Timely Assessments</w:t>
      </w:r>
    </w:p>
    <w:p w14:paraId="56B5F5FB" w14:textId="77777777" w:rsidR="00F36E86" w:rsidRPr="002C1FA2" w:rsidRDefault="00F36E86" w:rsidP="00F36E86">
      <w:pPr>
        <w:numPr>
          <w:ilvl w:val="0"/>
          <w:numId w:val="19"/>
        </w:numPr>
      </w:pPr>
      <w:r w:rsidRPr="002C1FA2">
        <w:t>Assessments should be completed by the second Looked After Review.</w:t>
      </w:r>
    </w:p>
    <w:p w14:paraId="1DAA7601" w14:textId="77777777" w:rsidR="00F36E86" w:rsidRPr="002C1FA2" w:rsidRDefault="00F36E86" w:rsidP="00F36E86">
      <w:pPr>
        <w:numPr>
          <w:ilvl w:val="0"/>
          <w:numId w:val="19"/>
        </w:numPr>
      </w:pPr>
      <w:r w:rsidRPr="002C1FA2">
        <w:t>Must be outcome-focused and consider long-term needs and support.</w:t>
      </w:r>
    </w:p>
    <w:p w14:paraId="2F7DB358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7.2 Multi-Agency Collaboration</w:t>
      </w:r>
    </w:p>
    <w:p w14:paraId="04560C8A" w14:textId="77777777" w:rsidR="00F36E86" w:rsidRPr="002C1FA2" w:rsidRDefault="00F36E86" w:rsidP="00F36E86">
      <w:pPr>
        <w:numPr>
          <w:ilvl w:val="0"/>
          <w:numId w:val="20"/>
        </w:numPr>
      </w:pPr>
      <w:r w:rsidRPr="002C1FA2">
        <w:t>Involves social workers, health professionals, education colleagues, and legal teams.</w:t>
      </w:r>
    </w:p>
    <w:p w14:paraId="742BCE3D" w14:textId="77777777" w:rsidR="00F36E86" w:rsidRPr="002C1FA2" w:rsidRDefault="00F36E86" w:rsidP="00F36E86">
      <w:pPr>
        <w:numPr>
          <w:ilvl w:val="0"/>
          <w:numId w:val="20"/>
        </w:numPr>
      </w:pPr>
      <w:r w:rsidRPr="002C1FA2">
        <w:t>Ensures a holistic and coordinated approach.</w:t>
      </w:r>
    </w:p>
    <w:p w14:paraId="4F93FEA2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7.3 Parallel Planning</w:t>
      </w:r>
    </w:p>
    <w:p w14:paraId="7B9C6C15" w14:textId="77777777" w:rsidR="00F36E86" w:rsidRPr="002C1FA2" w:rsidRDefault="00F36E86" w:rsidP="00F36E86">
      <w:pPr>
        <w:numPr>
          <w:ilvl w:val="0"/>
          <w:numId w:val="21"/>
        </w:numPr>
      </w:pPr>
      <w:r w:rsidRPr="002C1FA2">
        <w:t>Develops multiple plans simultaneously to avoid delays if the primary plan becomes unviable.</w:t>
      </w:r>
    </w:p>
    <w:p w14:paraId="3AEB5CA9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>7.4 Court Considerations</w:t>
      </w:r>
    </w:p>
    <w:p w14:paraId="724EA31F" w14:textId="77777777" w:rsidR="00F36E86" w:rsidRPr="002C1FA2" w:rsidRDefault="00F36E86" w:rsidP="00F36E86">
      <w:pPr>
        <w:numPr>
          <w:ilvl w:val="0"/>
          <w:numId w:val="22"/>
        </w:numPr>
      </w:pPr>
      <w:r w:rsidRPr="002C1FA2">
        <w:t>Courts must consider the permanence provisions of the Care Plan, including:</w:t>
      </w:r>
    </w:p>
    <w:p w14:paraId="4DD4D366" w14:textId="77777777" w:rsidR="00F36E86" w:rsidRDefault="00F36E86" w:rsidP="00F36E86">
      <w:pPr>
        <w:numPr>
          <w:ilvl w:val="1"/>
          <w:numId w:val="22"/>
        </w:numPr>
      </w:pPr>
      <w:r w:rsidRPr="002C1FA2">
        <w:t>Impact of past harm</w:t>
      </w:r>
    </w:p>
    <w:p w14:paraId="7153106D" w14:textId="77777777" w:rsidR="00857A8A" w:rsidRDefault="00857A8A" w:rsidP="00857A8A"/>
    <w:p w14:paraId="09CFB9F3" w14:textId="77777777" w:rsidR="00857A8A" w:rsidRPr="002C1FA2" w:rsidRDefault="00857A8A" w:rsidP="00857A8A"/>
    <w:p w14:paraId="78BEC2B3" w14:textId="77777777" w:rsidR="00F36E86" w:rsidRPr="002C1FA2" w:rsidRDefault="00F36E86" w:rsidP="00F36E86">
      <w:pPr>
        <w:numPr>
          <w:ilvl w:val="1"/>
          <w:numId w:val="22"/>
        </w:numPr>
      </w:pPr>
      <w:r w:rsidRPr="002C1FA2">
        <w:t>Current and future needs</w:t>
      </w:r>
    </w:p>
    <w:p w14:paraId="49403447" w14:textId="77777777" w:rsidR="00F36E86" w:rsidRPr="002C1FA2" w:rsidRDefault="00F36E86" w:rsidP="00F36E86">
      <w:pPr>
        <w:numPr>
          <w:ilvl w:val="1"/>
          <w:numId w:val="22"/>
        </w:numPr>
      </w:pPr>
      <w:r w:rsidRPr="002C1FA2">
        <w:t>How the plan meets those needs</w:t>
      </w:r>
    </w:p>
    <w:p w14:paraId="3F226D52" w14:textId="77777777" w:rsidR="00F36E86" w:rsidRPr="00634B7C" w:rsidRDefault="00F36E86" w:rsidP="00F36E86">
      <w:pPr>
        <w:rPr>
          <w:b/>
          <w:bCs/>
        </w:rPr>
      </w:pPr>
      <w:r w:rsidRPr="00634B7C">
        <w:rPr>
          <w:b/>
          <w:bCs/>
        </w:rPr>
        <w:t xml:space="preserve"> 8. Good Practice </w:t>
      </w:r>
      <w:r>
        <w:rPr>
          <w:b/>
          <w:bCs/>
        </w:rPr>
        <w:t>Principles</w:t>
      </w:r>
    </w:p>
    <w:p w14:paraId="26C8C15A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 xml:space="preserve">Child-Centred practice that engages children in planning in age-appropriate ways. We respect their voice and </w:t>
      </w:r>
      <w:proofErr w:type="gramStart"/>
      <w:r w:rsidRPr="00E748BF">
        <w:t>lived</w:t>
      </w:r>
      <w:proofErr w:type="gramEnd"/>
      <w:r w:rsidRPr="00E748BF">
        <w:t xml:space="preserve"> experience.</w:t>
      </w:r>
    </w:p>
    <w:p w14:paraId="7EAE5602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>Cultural Sensitivity in our approach ensuring we Incorporate the child’s cultural, religious, and linguistic background into planning.</w:t>
      </w:r>
    </w:p>
    <w:p w14:paraId="01269366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 xml:space="preserve">Support for </w:t>
      </w:r>
      <w:r>
        <w:t>c</w:t>
      </w:r>
      <w:r w:rsidRPr="00E748BF">
        <w:t>aregivers by providing training and ongoing tailored support to foster carers, adopters, and guardians.</w:t>
      </w:r>
    </w:p>
    <w:p w14:paraId="3FF16F85" w14:textId="77777777" w:rsidR="00F36E86" w:rsidRDefault="00F36E86" w:rsidP="00BA12C0">
      <w:pPr>
        <w:pStyle w:val="NoSpacing"/>
        <w:numPr>
          <w:ilvl w:val="0"/>
          <w:numId w:val="25"/>
        </w:numPr>
      </w:pPr>
      <w:r w:rsidRPr="00E748BF">
        <w:t>Permanence plans must be regularly reviewed and adapted as needed.</w:t>
      </w:r>
    </w:p>
    <w:p w14:paraId="2C501563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 xml:space="preserve">Actively </w:t>
      </w:r>
      <w:r>
        <w:t>s</w:t>
      </w:r>
      <w:r w:rsidRPr="00E748BF">
        <w:t xml:space="preserve">upporting </w:t>
      </w:r>
      <w:r>
        <w:t>r</w:t>
      </w:r>
      <w:r w:rsidRPr="00E748BF">
        <w:t>eunification through clear communication with families about what needs to change for reunification.</w:t>
      </w:r>
    </w:p>
    <w:p w14:paraId="175154A1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>Stability includes emotional, relational, and environmental continuity and avoids unnecessary changes in placement, school, or relationships.</w:t>
      </w:r>
    </w:p>
    <w:p w14:paraId="262859EA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>Sibling</w:t>
      </w:r>
      <w:r>
        <w:t>s</w:t>
      </w:r>
      <w:r w:rsidRPr="00E748BF">
        <w:t xml:space="preserve"> should be placed together wherever it is in their best interests. We recognise that sibling relationships are protective and enduring.</w:t>
      </w:r>
    </w:p>
    <w:p w14:paraId="750E2D09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>Family Time Contact must be child-focused, not for the benefit of adults. It should support the child’s identity, reassurance, and sense of continuity.</w:t>
      </w:r>
    </w:p>
    <w:p w14:paraId="3BE2B9F7" w14:textId="77777777" w:rsidR="00F36E86" w:rsidRPr="00E748BF" w:rsidRDefault="00F36E86" w:rsidP="00BA12C0">
      <w:pPr>
        <w:pStyle w:val="NoSpacing"/>
        <w:numPr>
          <w:ilvl w:val="0"/>
          <w:numId w:val="25"/>
        </w:numPr>
      </w:pPr>
      <w:r w:rsidRPr="00E748BF">
        <w:t>Permanence Plans must be clear, concise, and outcome focused. They should be easily understood by all involved and regularly referenced in reviews.</w:t>
      </w:r>
    </w:p>
    <w:p w14:paraId="040510C6" w14:textId="77777777" w:rsidR="00F36E86" w:rsidRDefault="00F36E86" w:rsidP="00F36E86"/>
    <w:p w14:paraId="51613FD0" w14:textId="43524AD3" w:rsidR="00F36E86" w:rsidRPr="00BA12C0" w:rsidRDefault="00F36E86" w:rsidP="00F36E86">
      <w:r>
        <w:rPr>
          <w:b/>
          <w:bCs/>
        </w:rPr>
        <w:t>Date of guidance:</w:t>
      </w:r>
      <w:r w:rsidR="00BA12C0">
        <w:rPr>
          <w:b/>
          <w:bCs/>
        </w:rPr>
        <w:t xml:space="preserve"> </w:t>
      </w:r>
      <w:r w:rsidR="00BA12C0" w:rsidRPr="00BA12C0">
        <w:t>August 2025</w:t>
      </w:r>
    </w:p>
    <w:p w14:paraId="166FADBF" w14:textId="77914F0B" w:rsidR="00BA12C0" w:rsidRPr="00BA12C0" w:rsidRDefault="00F36E86" w:rsidP="00BA12C0">
      <w:r>
        <w:rPr>
          <w:b/>
          <w:bCs/>
        </w:rPr>
        <w:t xml:space="preserve">Date of review: </w:t>
      </w:r>
      <w:r w:rsidR="00BA12C0" w:rsidRPr="00BA12C0">
        <w:t>August 202</w:t>
      </w:r>
      <w:r w:rsidR="00BA12C0">
        <w:t>6</w:t>
      </w:r>
    </w:p>
    <w:p w14:paraId="1AD9FE22" w14:textId="556942B7" w:rsidR="00F36E86" w:rsidRPr="00712B8A" w:rsidRDefault="00F36E86" w:rsidP="00F36E86"/>
    <w:p w14:paraId="37F72396" w14:textId="77777777" w:rsidR="00F36E86" w:rsidRDefault="00F36E86" w:rsidP="00F36E86"/>
    <w:p w14:paraId="1EC63FF3" w14:textId="77777777" w:rsidR="00F36E86" w:rsidRDefault="00F36E86" w:rsidP="00BE476B">
      <w:pPr>
        <w:rPr>
          <w:b/>
          <w:bCs/>
        </w:rPr>
      </w:pPr>
    </w:p>
    <w:sectPr w:rsidR="00F36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95C4" w14:textId="77777777" w:rsidR="007F488C" w:rsidRDefault="007F488C" w:rsidP="00140360">
      <w:pPr>
        <w:spacing w:after="0" w:line="240" w:lineRule="auto"/>
      </w:pPr>
      <w:r>
        <w:separator/>
      </w:r>
    </w:p>
  </w:endnote>
  <w:endnote w:type="continuationSeparator" w:id="0">
    <w:p w14:paraId="6E85617B" w14:textId="77777777" w:rsidR="007F488C" w:rsidRDefault="007F488C" w:rsidP="0014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4262" w14:textId="77777777" w:rsidR="004705F2" w:rsidRDefault="0047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DFA7" w14:textId="77777777" w:rsidR="004705F2" w:rsidRDefault="00470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BE8" w14:textId="77777777" w:rsidR="004705F2" w:rsidRDefault="0047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E60C" w14:textId="77777777" w:rsidR="007F488C" w:rsidRDefault="007F488C" w:rsidP="00140360">
      <w:pPr>
        <w:spacing w:after="0" w:line="240" w:lineRule="auto"/>
      </w:pPr>
      <w:r>
        <w:separator/>
      </w:r>
    </w:p>
  </w:footnote>
  <w:footnote w:type="continuationSeparator" w:id="0">
    <w:p w14:paraId="38F8D5C0" w14:textId="77777777" w:rsidR="007F488C" w:rsidRDefault="007F488C" w:rsidP="0014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9F9" w14:textId="77777777" w:rsidR="004705F2" w:rsidRDefault="0047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C7D5" w14:textId="21A37499" w:rsidR="00140360" w:rsidRDefault="001403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EEA88" wp14:editId="628A2C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3449" cy="1030255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49" cy="1030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6EE5" w14:textId="77777777" w:rsidR="004705F2" w:rsidRDefault="0047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46F"/>
    <w:multiLevelType w:val="hybridMultilevel"/>
    <w:tmpl w:val="60BE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0E4"/>
    <w:multiLevelType w:val="multilevel"/>
    <w:tmpl w:val="972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7856BA"/>
    <w:multiLevelType w:val="hybridMultilevel"/>
    <w:tmpl w:val="66CE87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848C9"/>
    <w:multiLevelType w:val="multilevel"/>
    <w:tmpl w:val="FF5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B7397"/>
    <w:multiLevelType w:val="multilevel"/>
    <w:tmpl w:val="6F8C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26CA1"/>
    <w:multiLevelType w:val="multilevel"/>
    <w:tmpl w:val="3FA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E133F"/>
    <w:multiLevelType w:val="multilevel"/>
    <w:tmpl w:val="FF3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C24FF"/>
    <w:multiLevelType w:val="multilevel"/>
    <w:tmpl w:val="E82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836FA"/>
    <w:multiLevelType w:val="multilevel"/>
    <w:tmpl w:val="AC5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A1883"/>
    <w:multiLevelType w:val="multilevel"/>
    <w:tmpl w:val="1098F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1B137A"/>
    <w:multiLevelType w:val="multilevel"/>
    <w:tmpl w:val="DC1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E5A45"/>
    <w:multiLevelType w:val="multilevel"/>
    <w:tmpl w:val="A3DE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7605A5"/>
    <w:multiLevelType w:val="multilevel"/>
    <w:tmpl w:val="6FC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153B0"/>
    <w:multiLevelType w:val="multilevel"/>
    <w:tmpl w:val="787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55504"/>
    <w:multiLevelType w:val="multilevel"/>
    <w:tmpl w:val="6E4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57AC5"/>
    <w:multiLevelType w:val="multilevel"/>
    <w:tmpl w:val="2FE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B60CA"/>
    <w:multiLevelType w:val="multilevel"/>
    <w:tmpl w:val="D37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EF10D2"/>
    <w:multiLevelType w:val="multilevel"/>
    <w:tmpl w:val="F63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655DC"/>
    <w:multiLevelType w:val="multilevel"/>
    <w:tmpl w:val="28C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195508"/>
    <w:multiLevelType w:val="multilevel"/>
    <w:tmpl w:val="D8E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527284"/>
    <w:multiLevelType w:val="multilevel"/>
    <w:tmpl w:val="E26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101A31"/>
    <w:multiLevelType w:val="multilevel"/>
    <w:tmpl w:val="141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2211D2"/>
    <w:multiLevelType w:val="multilevel"/>
    <w:tmpl w:val="CAD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64703"/>
    <w:multiLevelType w:val="hybridMultilevel"/>
    <w:tmpl w:val="F52A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425"/>
    <w:multiLevelType w:val="multilevel"/>
    <w:tmpl w:val="EB6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8578905">
    <w:abstractNumId w:val="17"/>
  </w:num>
  <w:num w:numId="2" w16cid:durableId="693189950">
    <w:abstractNumId w:val="12"/>
  </w:num>
  <w:num w:numId="3" w16cid:durableId="1730614565">
    <w:abstractNumId w:val="14"/>
  </w:num>
  <w:num w:numId="4" w16cid:durableId="149365743">
    <w:abstractNumId w:val="22"/>
  </w:num>
  <w:num w:numId="5" w16cid:durableId="763653821">
    <w:abstractNumId w:val="10"/>
  </w:num>
  <w:num w:numId="6" w16cid:durableId="214122771">
    <w:abstractNumId w:val="5"/>
  </w:num>
  <w:num w:numId="7" w16cid:durableId="2000185672">
    <w:abstractNumId w:val="13"/>
  </w:num>
  <w:num w:numId="8" w16cid:durableId="1761440900">
    <w:abstractNumId w:val="2"/>
  </w:num>
  <w:num w:numId="9" w16cid:durableId="175120813">
    <w:abstractNumId w:val="3"/>
  </w:num>
  <w:num w:numId="10" w16cid:durableId="30495393">
    <w:abstractNumId w:val="8"/>
  </w:num>
  <w:num w:numId="11" w16cid:durableId="1231386022">
    <w:abstractNumId w:val="15"/>
  </w:num>
  <w:num w:numId="12" w16cid:durableId="324822639">
    <w:abstractNumId w:val="6"/>
  </w:num>
  <w:num w:numId="13" w16cid:durableId="505175725">
    <w:abstractNumId w:val="24"/>
  </w:num>
  <w:num w:numId="14" w16cid:durableId="1892810762">
    <w:abstractNumId w:val="21"/>
  </w:num>
  <w:num w:numId="15" w16cid:durableId="374473517">
    <w:abstractNumId w:val="11"/>
  </w:num>
  <w:num w:numId="16" w16cid:durableId="1490058700">
    <w:abstractNumId w:val="1"/>
  </w:num>
  <w:num w:numId="17" w16cid:durableId="224341563">
    <w:abstractNumId w:val="20"/>
  </w:num>
  <w:num w:numId="18" w16cid:durableId="1516072797">
    <w:abstractNumId w:val="18"/>
  </w:num>
  <w:num w:numId="19" w16cid:durableId="225728335">
    <w:abstractNumId w:val="4"/>
  </w:num>
  <w:num w:numId="20" w16cid:durableId="1090932351">
    <w:abstractNumId w:val="16"/>
  </w:num>
  <w:num w:numId="21" w16cid:durableId="1694453937">
    <w:abstractNumId w:val="7"/>
  </w:num>
  <w:num w:numId="22" w16cid:durableId="416705734">
    <w:abstractNumId w:val="19"/>
  </w:num>
  <w:num w:numId="23" w16cid:durableId="1875577722">
    <w:abstractNumId w:val="9"/>
  </w:num>
  <w:num w:numId="24" w16cid:durableId="2110614043">
    <w:abstractNumId w:val="23"/>
  </w:num>
  <w:num w:numId="25" w16cid:durableId="188070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0"/>
    <w:rsid w:val="00140360"/>
    <w:rsid w:val="002179C7"/>
    <w:rsid w:val="004705F2"/>
    <w:rsid w:val="004E11B5"/>
    <w:rsid w:val="0051709A"/>
    <w:rsid w:val="006C4EDE"/>
    <w:rsid w:val="007F488C"/>
    <w:rsid w:val="00857A8A"/>
    <w:rsid w:val="00AB5AF5"/>
    <w:rsid w:val="00B061F8"/>
    <w:rsid w:val="00BA12C0"/>
    <w:rsid w:val="00BE476B"/>
    <w:rsid w:val="00C25A5E"/>
    <w:rsid w:val="00C52013"/>
    <w:rsid w:val="00F36E86"/>
    <w:rsid w:val="00F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9A76"/>
  <w15:chartTrackingRefBased/>
  <w15:docId w15:val="{5D3CC7A8-5BEC-43B2-8611-EEE2610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60"/>
  </w:style>
  <w:style w:type="paragraph" w:styleId="Footer">
    <w:name w:val="footer"/>
    <w:basedOn w:val="Normal"/>
    <w:link w:val="Foot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60"/>
  </w:style>
  <w:style w:type="paragraph" w:styleId="ListParagraph">
    <w:name w:val="List Paragraph"/>
    <w:basedOn w:val="Normal"/>
    <w:uiPriority w:val="34"/>
    <w:qFormat/>
    <w:rsid w:val="00BE476B"/>
    <w:pPr>
      <w:ind w:left="720"/>
      <w:contextualSpacing/>
    </w:pPr>
  </w:style>
  <w:style w:type="paragraph" w:styleId="NoSpacing">
    <w:name w:val="No Spacing"/>
    <w:uiPriority w:val="1"/>
    <w:qFormat/>
    <w:rsid w:val="00F36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A250B1538814BBE5333019B7D43A6" ma:contentTypeVersion="13" ma:contentTypeDescription="Create a new document." ma:contentTypeScope="" ma:versionID="7859140d59edd1ada9b74572a37de4a4">
  <xsd:schema xmlns:xsd="http://www.w3.org/2001/XMLSchema" xmlns:xs="http://www.w3.org/2001/XMLSchema" xmlns:p="http://schemas.microsoft.com/office/2006/metadata/properties" xmlns:ns2="71cbbd5f-0c88-47f2-991c-9625c3c65dc6" xmlns:ns3="20a34414-1476-4aa9-a556-52121d16a043" targetNamespace="http://schemas.microsoft.com/office/2006/metadata/properties" ma:root="true" ma:fieldsID="f1ae401123a591dbaa8fdcfb774dd469" ns2:_="" ns3:_="">
    <xsd:import namespace="71cbbd5f-0c88-47f2-991c-9625c3c65dc6"/>
    <xsd:import namespace="20a34414-1476-4aa9-a556-52121d16a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bbd5f-0c88-47f2-991c-9625c3c6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4414-1476-4aa9-a556-52121d16a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7f2bcf-90ad-4175-8549-7c7271226ee7}" ma:internalName="TaxCatchAll" ma:showField="CatchAllData" ma:web="20a34414-1476-4aa9-a556-52121d16a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a34414-1476-4aa9-a556-52121d16a043" xsi:nil="true"/>
    <lcf76f155ced4ddcb4097134ff3c332f xmlns="71cbbd5f-0c88-47f2-991c-9625c3c65d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7230C-56F9-4F19-B34E-A59B10669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bbd5f-0c88-47f2-991c-9625c3c65dc6"/>
    <ds:schemaRef ds:uri="20a34414-1476-4aa9-a556-52121d16a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5A473-FC8B-4EAE-8CA3-E680166E4FFB}">
  <ds:schemaRefs>
    <ds:schemaRef ds:uri="http://schemas.microsoft.com/office/2006/metadata/properties"/>
    <ds:schemaRef ds:uri="http://schemas.microsoft.com/office/infopath/2007/PartnerControls"/>
    <ds:schemaRef ds:uri="20a34414-1476-4aa9-a556-52121d16a043"/>
    <ds:schemaRef ds:uri="71cbbd5f-0c88-47f2-991c-9625c3c65dc6"/>
  </ds:schemaRefs>
</ds:datastoreItem>
</file>

<file path=customXml/itemProps3.xml><?xml version="1.0" encoding="utf-8"?>
<ds:datastoreItem xmlns:ds="http://schemas.openxmlformats.org/officeDocument/2006/customXml" ds:itemID="{E642EA18-ADA2-4932-BAF9-F2FB392FB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Michele</dc:creator>
  <cp:keywords/>
  <dc:description/>
  <cp:lastModifiedBy>Llewellyn, Michele</cp:lastModifiedBy>
  <cp:revision>2</cp:revision>
  <dcterms:created xsi:type="dcterms:W3CDTF">2025-08-12T11:08:00Z</dcterms:created>
  <dcterms:modified xsi:type="dcterms:W3CDTF">2025-08-12T11:08:00Z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0x010100191A250B1538814BBE5333019B7D43A6</vt:lpwstr>
  </property>
</Properties>
</file>