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E3F8" w14:textId="2F69B700" w:rsidR="00914C76" w:rsidRPr="00914C76" w:rsidRDefault="00914C76" w:rsidP="00914C76">
      <w:pPr>
        <w:rPr>
          <w:b/>
          <w:bCs/>
        </w:rPr>
      </w:pPr>
      <w:r w:rsidRPr="00914C76">
        <w:rPr>
          <w:b/>
          <w:bCs/>
        </w:rPr>
        <w:t xml:space="preserve">APPENDIX 1  </w:t>
      </w:r>
    </w:p>
    <w:p w14:paraId="1870E741" w14:textId="059E3945" w:rsidR="00914C76" w:rsidRPr="00914C76" w:rsidRDefault="00914C76" w:rsidP="00914C76">
      <w:pPr>
        <w:rPr>
          <w:b/>
          <w:bCs/>
          <w:sz w:val="24"/>
          <w:szCs w:val="24"/>
        </w:rPr>
      </w:pPr>
      <w:r w:rsidRPr="00914C76">
        <w:rPr>
          <w:b/>
          <w:bCs/>
          <w:sz w:val="24"/>
          <w:szCs w:val="24"/>
        </w:rPr>
        <w:t xml:space="preserve">Annex </w:t>
      </w:r>
      <w:proofErr w:type="gramStart"/>
      <w:r w:rsidRPr="00914C76">
        <w:rPr>
          <w:b/>
          <w:bCs/>
          <w:sz w:val="24"/>
          <w:szCs w:val="24"/>
        </w:rPr>
        <w:t>A</w:t>
      </w:r>
      <w:proofErr w:type="gramEnd"/>
      <w:r w:rsidRPr="00914C76">
        <w:rPr>
          <w:b/>
          <w:bCs/>
          <w:sz w:val="24"/>
          <w:szCs w:val="24"/>
        </w:rPr>
        <w:t xml:space="preserve"> Ofsted Supported Accommodation Check List</w:t>
      </w:r>
    </w:p>
    <w:p w14:paraId="3E6474E4" w14:textId="77777777" w:rsidR="00914C76" w:rsidRPr="00914C76" w:rsidRDefault="00914C76" w:rsidP="00914C76">
      <w:r w:rsidRPr="00914C76">
        <w:t xml:space="preserve">This table sets the criteria to identify whether the service being proposed / provided is accommodation with ‘support’ or with ‘care’. Each </w:t>
      </w:r>
      <w:proofErr w:type="gramStart"/>
      <w:r w:rsidRPr="00914C76">
        <w:t>criteria</w:t>
      </w:r>
      <w:proofErr w:type="gramEnd"/>
      <w:r w:rsidRPr="00914C76">
        <w:t xml:space="preserve"> is in the form of a question and suggests whether a ‘</w:t>
      </w:r>
      <w:proofErr w:type="spellStart"/>
      <w:r w:rsidRPr="00914C76">
        <w:t>yes’</w:t>
      </w:r>
      <w:proofErr w:type="spellEnd"/>
      <w:r w:rsidRPr="00914C76">
        <w:t xml:space="preserve"> or ‘no’ answer means </w:t>
      </w:r>
      <w:proofErr w:type="gramStart"/>
      <w:r w:rsidRPr="00914C76">
        <w:t>care</w:t>
      </w:r>
      <w:proofErr w:type="gramEnd"/>
      <w:r w:rsidRPr="00914C76">
        <w:t xml:space="preserve"> or support is being provided. Where care is provided, this service meets the definition of a children’s home and will need to be an Ofsted registered organisation. </w:t>
      </w:r>
    </w:p>
    <w:p w14:paraId="2EE52539" w14:textId="77777777" w:rsidR="00914C76" w:rsidRPr="00914C76" w:rsidRDefault="00914C76" w:rsidP="00914C76"/>
    <w:tbl>
      <w:tblPr>
        <w:tblStyle w:val="TableGrid"/>
        <w:tblW w:w="1049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3833"/>
        <w:gridCol w:w="2971"/>
      </w:tblGrid>
      <w:tr w:rsidR="00914C76" w:rsidRPr="00914C76" w14:paraId="385B69D7" w14:textId="77777777" w:rsidTr="008D33F4">
        <w:trPr>
          <w:trHeight w:val="158"/>
          <w:tblHeader/>
        </w:trPr>
        <w:tc>
          <w:tcPr>
            <w:tcW w:w="3686" w:type="dxa"/>
            <w:shd w:val="clear" w:color="auto" w:fill="D9D9D9" w:themeFill="background1" w:themeFillShade="D9"/>
          </w:tcPr>
          <w:p w14:paraId="27D1BFBE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>Child Name / Mosaic:</w:t>
            </w:r>
          </w:p>
          <w:p w14:paraId="34B5B32B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833" w:type="dxa"/>
            <w:shd w:val="clear" w:color="auto" w:fill="D9D9D9" w:themeFill="background1" w:themeFillShade="D9"/>
          </w:tcPr>
          <w:p w14:paraId="39A7359D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>Provider: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5EC09C54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 xml:space="preserve">Date of Annex </w:t>
            </w:r>
            <w:proofErr w:type="gramStart"/>
            <w:r w:rsidRPr="00914C76">
              <w:rPr>
                <w:b/>
                <w:bCs/>
              </w:rPr>
              <w:t>A</w:t>
            </w:r>
            <w:proofErr w:type="gramEnd"/>
            <w:r w:rsidRPr="00914C76">
              <w:rPr>
                <w:b/>
                <w:bCs/>
              </w:rPr>
              <w:t xml:space="preserve"> Assessment:</w:t>
            </w:r>
          </w:p>
          <w:p w14:paraId="1E3A299F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14C76" w:rsidRPr="00914C76" w14:paraId="69CB2568" w14:textId="77777777" w:rsidTr="008D33F4">
        <w:trPr>
          <w:trHeight w:val="158"/>
          <w:tblHeader/>
        </w:trPr>
        <w:tc>
          <w:tcPr>
            <w:tcW w:w="3686" w:type="dxa"/>
            <w:shd w:val="clear" w:color="auto" w:fill="D9D9D9" w:themeFill="background1" w:themeFillShade="D9"/>
          </w:tcPr>
          <w:p w14:paraId="25F835F9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 xml:space="preserve">Accommodation Outcome: </w:t>
            </w:r>
          </w:p>
          <w:p w14:paraId="3E3B5544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>Support / Care (delete)</w:t>
            </w:r>
          </w:p>
        </w:tc>
        <w:tc>
          <w:tcPr>
            <w:tcW w:w="3833" w:type="dxa"/>
            <w:shd w:val="clear" w:color="auto" w:fill="D9D9D9" w:themeFill="background1" w:themeFillShade="D9"/>
          </w:tcPr>
          <w:p w14:paraId="0542FA4F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>Decision:</w:t>
            </w:r>
          </w:p>
          <w:p w14:paraId="75894BB0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 xml:space="preserve"> Proceed / Refuse (delete)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2F299879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  <w:r w:rsidRPr="00914C76">
              <w:rPr>
                <w:b/>
                <w:bCs/>
              </w:rPr>
              <w:t>Officer completing:</w:t>
            </w:r>
          </w:p>
        </w:tc>
      </w:tr>
      <w:tr w:rsidR="00914C76" w:rsidRPr="00914C76" w14:paraId="47EF2566" w14:textId="77777777" w:rsidTr="008D33F4">
        <w:trPr>
          <w:trHeight w:val="158"/>
          <w:tblHeader/>
        </w:trPr>
        <w:tc>
          <w:tcPr>
            <w:tcW w:w="3686" w:type="dxa"/>
            <w:shd w:val="clear" w:color="auto" w:fill="747474" w:themeFill="background2" w:themeFillShade="80"/>
          </w:tcPr>
          <w:p w14:paraId="3167039D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833" w:type="dxa"/>
            <w:shd w:val="clear" w:color="auto" w:fill="747474" w:themeFill="background2" w:themeFillShade="80"/>
          </w:tcPr>
          <w:p w14:paraId="5802690A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971" w:type="dxa"/>
            <w:shd w:val="clear" w:color="auto" w:fill="747474" w:themeFill="background2" w:themeFillShade="80"/>
          </w:tcPr>
          <w:p w14:paraId="6F8477A7" w14:textId="77777777" w:rsidR="00914C76" w:rsidRPr="00914C76" w:rsidRDefault="00914C76" w:rsidP="00914C76">
            <w:pPr>
              <w:spacing w:after="160" w:line="259" w:lineRule="auto"/>
              <w:rPr>
                <w:b/>
                <w:bCs/>
              </w:rPr>
            </w:pPr>
          </w:p>
        </w:tc>
      </w:tr>
      <w:tr w:rsidR="00914C76" w:rsidRPr="00914C76" w14:paraId="5E166EBD" w14:textId="77777777" w:rsidTr="008D33F4">
        <w:trPr>
          <w:trHeight w:val="158"/>
          <w:tblHeader/>
        </w:trPr>
        <w:tc>
          <w:tcPr>
            <w:tcW w:w="3686" w:type="dxa"/>
            <w:shd w:val="clear" w:color="auto" w:fill="D9D9D9" w:themeFill="background1" w:themeFillShade="D9"/>
          </w:tcPr>
          <w:p w14:paraId="3C7A8AE7" w14:textId="77777777" w:rsidR="00914C76" w:rsidRPr="00914C76" w:rsidRDefault="00914C76" w:rsidP="00914C76">
            <w:pPr>
              <w:spacing w:after="160" w:line="259" w:lineRule="auto"/>
            </w:pPr>
            <w:r w:rsidRPr="00914C76">
              <w:rPr>
                <w:b/>
                <w:bCs/>
              </w:rPr>
              <w:t xml:space="preserve">Criteria </w:t>
            </w:r>
          </w:p>
        </w:tc>
        <w:tc>
          <w:tcPr>
            <w:tcW w:w="3833" w:type="dxa"/>
            <w:shd w:val="clear" w:color="auto" w:fill="D9D9D9" w:themeFill="background1" w:themeFillShade="D9"/>
          </w:tcPr>
          <w:p w14:paraId="442F9962" w14:textId="77777777" w:rsidR="00914C76" w:rsidRPr="00914C76" w:rsidRDefault="00914C76" w:rsidP="00914C76">
            <w:pPr>
              <w:spacing w:after="160" w:line="259" w:lineRule="auto"/>
            </w:pPr>
            <w:r w:rsidRPr="00914C76">
              <w:rPr>
                <w:b/>
                <w:bCs/>
              </w:rPr>
              <w:t xml:space="preserve">Yes? 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11C19CB" w14:textId="77777777" w:rsidR="00914C76" w:rsidRPr="00914C76" w:rsidRDefault="00914C76" w:rsidP="00914C76">
            <w:pPr>
              <w:spacing w:after="160" w:line="259" w:lineRule="auto"/>
            </w:pPr>
            <w:r w:rsidRPr="00914C76">
              <w:rPr>
                <w:b/>
                <w:bCs/>
              </w:rPr>
              <w:t xml:space="preserve">No? </w:t>
            </w:r>
          </w:p>
        </w:tc>
      </w:tr>
      <w:tr w:rsidR="00914C76" w:rsidRPr="00914C76" w14:paraId="13C8EB6C" w14:textId="77777777" w:rsidTr="008D33F4">
        <w:trPr>
          <w:trHeight w:val="402"/>
        </w:trPr>
        <w:tc>
          <w:tcPr>
            <w:tcW w:w="3686" w:type="dxa"/>
          </w:tcPr>
          <w:p w14:paraId="1DA33B61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Can young people go out of the establishment without staff permission? </w:t>
            </w:r>
          </w:p>
        </w:tc>
        <w:tc>
          <w:tcPr>
            <w:tcW w:w="3833" w:type="dxa"/>
          </w:tcPr>
          <w:p w14:paraId="1A29AF3D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  <w:tc>
          <w:tcPr>
            <w:tcW w:w="2971" w:type="dxa"/>
          </w:tcPr>
          <w:p w14:paraId="4C347713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</w:tr>
      <w:tr w:rsidR="00914C76" w:rsidRPr="00914C76" w14:paraId="384BC474" w14:textId="77777777" w:rsidTr="008D33F4">
        <w:trPr>
          <w:trHeight w:val="276"/>
        </w:trPr>
        <w:tc>
          <w:tcPr>
            <w:tcW w:w="3686" w:type="dxa"/>
          </w:tcPr>
          <w:p w14:paraId="1DFC47B5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Do young people have full control of their own finances? </w:t>
            </w:r>
          </w:p>
        </w:tc>
        <w:tc>
          <w:tcPr>
            <w:tcW w:w="3833" w:type="dxa"/>
          </w:tcPr>
          <w:p w14:paraId="7257AA71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  <w:tc>
          <w:tcPr>
            <w:tcW w:w="2971" w:type="dxa"/>
          </w:tcPr>
          <w:p w14:paraId="28329A07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</w:tr>
      <w:tr w:rsidR="00914C76" w:rsidRPr="00914C76" w14:paraId="246F9C8E" w14:textId="77777777" w:rsidTr="008D33F4">
        <w:trPr>
          <w:trHeight w:val="403"/>
        </w:trPr>
        <w:tc>
          <w:tcPr>
            <w:tcW w:w="3686" w:type="dxa"/>
          </w:tcPr>
          <w:p w14:paraId="4DBC5BAC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Do young people have control over what they wear and of the resources to buy clothes? </w:t>
            </w:r>
          </w:p>
        </w:tc>
        <w:tc>
          <w:tcPr>
            <w:tcW w:w="3833" w:type="dxa"/>
          </w:tcPr>
          <w:p w14:paraId="4E15C4E7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  <w:tc>
          <w:tcPr>
            <w:tcW w:w="2971" w:type="dxa"/>
          </w:tcPr>
          <w:p w14:paraId="342FAF94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</w:tr>
      <w:tr w:rsidR="00914C76" w:rsidRPr="00914C76" w14:paraId="58F4B611" w14:textId="77777777" w:rsidTr="008D33F4">
        <w:trPr>
          <w:trHeight w:val="910"/>
        </w:trPr>
        <w:tc>
          <w:tcPr>
            <w:tcW w:w="3686" w:type="dxa"/>
          </w:tcPr>
          <w:p w14:paraId="68D5BA9E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Are young people in charge of meeting </w:t>
            </w:r>
            <w:proofErr w:type="gramStart"/>
            <w:r w:rsidRPr="00914C76">
              <w:t>all of</w:t>
            </w:r>
            <w:proofErr w:type="gramEnd"/>
            <w:r w:rsidRPr="00914C76">
              <w:t xml:space="preserve"> their health needs, including such things as arranging GP or specialist health care appointments? Are young people in full control of their medication? </w:t>
            </w:r>
          </w:p>
        </w:tc>
        <w:tc>
          <w:tcPr>
            <w:tcW w:w="3833" w:type="dxa"/>
          </w:tcPr>
          <w:p w14:paraId="6A6520BA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  <w:p w14:paraId="44A57DE6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(note that young people may ask for advice and help on their health, but if the decisions rest with the young person, the establishment is not providing care) </w:t>
            </w:r>
          </w:p>
        </w:tc>
        <w:tc>
          <w:tcPr>
            <w:tcW w:w="2971" w:type="dxa"/>
          </w:tcPr>
          <w:p w14:paraId="1BDBC3D6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</w:tr>
      <w:tr w:rsidR="00914C76" w:rsidRPr="00914C76" w14:paraId="7CA49EB7" w14:textId="77777777" w:rsidTr="008D33F4">
        <w:trPr>
          <w:trHeight w:val="277"/>
        </w:trPr>
        <w:tc>
          <w:tcPr>
            <w:tcW w:w="3686" w:type="dxa"/>
          </w:tcPr>
          <w:p w14:paraId="3EF99566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Does staff have any access to any medical records? </w:t>
            </w:r>
          </w:p>
        </w:tc>
        <w:tc>
          <w:tcPr>
            <w:tcW w:w="3833" w:type="dxa"/>
          </w:tcPr>
          <w:p w14:paraId="07E54120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  <w:tc>
          <w:tcPr>
            <w:tcW w:w="2971" w:type="dxa"/>
          </w:tcPr>
          <w:p w14:paraId="01001EA7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</w:tr>
      <w:tr w:rsidR="00914C76" w:rsidRPr="00914C76" w14:paraId="0522FB78" w14:textId="77777777" w:rsidTr="008D33F4">
        <w:trPr>
          <w:trHeight w:val="783"/>
        </w:trPr>
        <w:tc>
          <w:tcPr>
            <w:tcW w:w="3686" w:type="dxa"/>
          </w:tcPr>
          <w:p w14:paraId="5269DF92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Can young people choose to stay away overnight? </w:t>
            </w:r>
          </w:p>
        </w:tc>
        <w:tc>
          <w:tcPr>
            <w:tcW w:w="3833" w:type="dxa"/>
          </w:tcPr>
          <w:p w14:paraId="42B2CA9E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  <w:p w14:paraId="6013DC6C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(note that being expected to tell someone if they are going to be away overnight does not indicate providing care, but needing to ask someone’s permission does) </w:t>
            </w:r>
          </w:p>
        </w:tc>
        <w:tc>
          <w:tcPr>
            <w:tcW w:w="2971" w:type="dxa"/>
          </w:tcPr>
          <w:p w14:paraId="74FC10F2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</w:tr>
      <w:tr w:rsidR="00914C76" w:rsidRPr="00914C76" w14:paraId="53B3A532" w14:textId="77777777" w:rsidTr="008D33F4">
        <w:trPr>
          <w:trHeight w:val="529"/>
        </w:trPr>
        <w:tc>
          <w:tcPr>
            <w:tcW w:w="3686" w:type="dxa"/>
          </w:tcPr>
          <w:p w14:paraId="2A15DF45" w14:textId="77777777" w:rsidR="00914C76" w:rsidRPr="00914C76" w:rsidRDefault="00914C76" w:rsidP="00914C76">
            <w:pPr>
              <w:spacing w:after="160" w:line="259" w:lineRule="auto"/>
            </w:pPr>
            <w:r w:rsidRPr="00914C76">
              <w:lastRenderedPageBreak/>
              <w:t xml:space="preserve">Is there </w:t>
            </w:r>
            <w:proofErr w:type="gramStart"/>
            <w:r w:rsidRPr="00914C76">
              <w:t>a sanctions police</w:t>
            </w:r>
            <w:proofErr w:type="gramEnd"/>
            <w:r w:rsidRPr="00914C76">
              <w:t xml:space="preserve"> that goes beyond house rules and legal sanctions that would be imposed on any adult? </w:t>
            </w:r>
          </w:p>
        </w:tc>
        <w:tc>
          <w:tcPr>
            <w:tcW w:w="3833" w:type="dxa"/>
          </w:tcPr>
          <w:p w14:paraId="24232825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  <w:tc>
          <w:tcPr>
            <w:tcW w:w="2971" w:type="dxa"/>
          </w:tcPr>
          <w:p w14:paraId="73C7D141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</w:tr>
      <w:tr w:rsidR="00914C76" w:rsidRPr="00914C76" w14:paraId="293DC1BB" w14:textId="77777777" w:rsidTr="008D33F4">
        <w:trPr>
          <w:trHeight w:val="655"/>
        </w:trPr>
        <w:tc>
          <w:tcPr>
            <w:tcW w:w="3686" w:type="dxa"/>
          </w:tcPr>
          <w:p w14:paraId="2DD54F4C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If the establishment accommodates both adults and young people, do these under 18 have any different Supervision, support, facilities or restrictions? </w:t>
            </w:r>
          </w:p>
        </w:tc>
        <w:tc>
          <w:tcPr>
            <w:tcW w:w="3833" w:type="dxa"/>
          </w:tcPr>
          <w:p w14:paraId="6B4FF22B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  <w:tc>
          <w:tcPr>
            <w:tcW w:w="2971" w:type="dxa"/>
          </w:tcPr>
          <w:p w14:paraId="750A5A79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</w:tr>
      <w:tr w:rsidR="00914C76" w:rsidRPr="00914C76" w14:paraId="42885EAD" w14:textId="77777777" w:rsidTr="008D33F4">
        <w:trPr>
          <w:trHeight w:val="529"/>
        </w:trPr>
        <w:tc>
          <w:tcPr>
            <w:tcW w:w="3686" w:type="dxa"/>
          </w:tcPr>
          <w:p w14:paraId="413DDA75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Are there regularly significant periods of time when young people are on the premises with no direct staff supervision? </w:t>
            </w:r>
          </w:p>
        </w:tc>
        <w:tc>
          <w:tcPr>
            <w:tcW w:w="3833" w:type="dxa"/>
          </w:tcPr>
          <w:p w14:paraId="7CF284D4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  <w:tc>
          <w:tcPr>
            <w:tcW w:w="2971" w:type="dxa"/>
          </w:tcPr>
          <w:p w14:paraId="7EDEC068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</w:tr>
      <w:tr w:rsidR="00914C76" w:rsidRPr="00914C76" w14:paraId="56F7C7D1" w14:textId="77777777" w:rsidTr="008D33F4">
        <w:trPr>
          <w:trHeight w:val="655"/>
        </w:trPr>
        <w:tc>
          <w:tcPr>
            <w:tcW w:w="3686" w:type="dxa"/>
          </w:tcPr>
          <w:p w14:paraId="04A4E74C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Do staff have any responsibility for aftercare once a young person has left? </w:t>
            </w:r>
          </w:p>
        </w:tc>
        <w:tc>
          <w:tcPr>
            <w:tcW w:w="3833" w:type="dxa"/>
          </w:tcPr>
          <w:p w14:paraId="4549F6EC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  <w:p w14:paraId="41928AEF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(note that some supported accommodation services will off some support to help young people get established in their next accommodation – this </w:t>
            </w:r>
            <w:proofErr w:type="gramStart"/>
            <w:r w:rsidRPr="00914C76">
              <w:t>is not care</w:t>
            </w:r>
            <w:proofErr w:type="gramEnd"/>
            <w:r w:rsidRPr="00914C76">
              <w:t>)</w:t>
            </w:r>
          </w:p>
        </w:tc>
        <w:tc>
          <w:tcPr>
            <w:tcW w:w="2971" w:type="dxa"/>
          </w:tcPr>
          <w:p w14:paraId="2DE8CC71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</w:tr>
      <w:tr w:rsidR="00914C76" w:rsidRPr="00914C76" w14:paraId="408A5D8A" w14:textId="77777777" w:rsidTr="008D33F4">
        <w:trPr>
          <w:trHeight w:val="655"/>
        </w:trPr>
        <w:tc>
          <w:tcPr>
            <w:tcW w:w="3686" w:type="dxa"/>
          </w:tcPr>
          <w:p w14:paraId="7AB982AD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Does the establishment’s literature promise the provision of care or relate to specific care support provided to all residents. </w:t>
            </w:r>
          </w:p>
        </w:tc>
        <w:tc>
          <w:tcPr>
            <w:tcW w:w="3833" w:type="dxa"/>
          </w:tcPr>
          <w:p w14:paraId="39D71A50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  <w:tc>
          <w:tcPr>
            <w:tcW w:w="2971" w:type="dxa"/>
          </w:tcPr>
          <w:p w14:paraId="0C194575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>Supported accommodation</w:t>
            </w:r>
          </w:p>
        </w:tc>
      </w:tr>
      <w:tr w:rsidR="00914C76" w:rsidRPr="00914C76" w14:paraId="53F0112A" w14:textId="77777777" w:rsidTr="008D33F4">
        <w:trPr>
          <w:trHeight w:val="655"/>
        </w:trPr>
        <w:tc>
          <w:tcPr>
            <w:tcW w:w="3686" w:type="dxa"/>
          </w:tcPr>
          <w:p w14:paraId="17334E47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>Does the establishment provide or commission a specialist support service, which forms part of the main function of the establishment?</w:t>
            </w:r>
          </w:p>
        </w:tc>
        <w:tc>
          <w:tcPr>
            <w:tcW w:w="3833" w:type="dxa"/>
          </w:tcPr>
          <w:p w14:paraId="264EB6C9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Care </w:t>
            </w:r>
          </w:p>
        </w:tc>
        <w:tc>
          <w:tcPr>
            <w:tcW w:w="2971" w:type="dxa"/>
          </w:tcPr>
          <w:p w14:paraId="34C71151" w14:textId="77777777" w:rsidR="00914C76" w:rsidRPr="00914C76" w:rsidRDefault="00914C76" w:rsidP="00914C76">
            <w:pPr>
              <w:spacing w:after="160" w:line="259" w:lineRule="auto"/>
            </w:pPr>
            <w:r w:rsidRPr="00914C76">
              <w:t xml:space="preserve">Supported accommodation </w:t>
            </w:r>
          </w:p>
        </w:tc>
      </w:tr>
    </w:tbl>
    <w:p w14:paraId="3BCF4FB3" w14:textId="77777777" w:rsidR="00914C76" w:rsidRPr="00914C76" w:rsidRDefault="00914C76" w:rsidP="00914C76"/>
    <w:p w14:paraId="778E2D32" w14:textId="77777777" w:rsidR="00672440" w:rsidRDefault="00672440"/>
    <w:sectPr w:rsidR="0067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6"/>
    <w:rsid w:val="00121908"/>
    <w:rsid w:val="004140CB"/>
    <w:rsid w:val="004E09ED"/>
    <w:rsid w:val="0056223C"/>
    <w:rsid w:val="00672440"/>
    <w:rsid w:val="008823C1"/>
    <w:rsid w:val="00914C76"/>
    <w:rsid w:val="00A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508C"/>
  <w15:chartTrackingRefBased/>
  <w15:docId w15:val="{BF46F3E0-3BDF-448D-9C12-80F8D0D4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Ethan Gillies</cp:lastModifiedBy>
  <cp:revision>2</cp:revision>
  <dcterms:created xsi:type="dcterms:W3CDTF">2025-11-20T11:30:00Z</dcterms:created>
  <dcterms:modified xsi:type="dcterms:W3CDTF">2025-11-20T11:30:00Z</dcterms:modified>
</cp:coreProperties>
</file>