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13F3E" w14:textId="77777777" w:rsidR="007C321C" w:rsidRDefault="007C321C" w:rsidP="006962B6">
      <w:pPr>
        <w:jc w:val="both"/>
        <w:rPr>
          <w:rFonts w:ascii="Arial" w:hAnsi="Arial" w:cs="Arial"/>
          <w:b/>
          <w:color w:val="50575B"/>
          <w:sz w:val="24"/>
          <w:szCs w:val="24"/>
        </w:rPr>
      </w:pPr>
    </w:p>
    <w:p w14:paraId="0EC4130E" w14:textId="77777777" w:rsidR="007C321C" w:rsidRDefault="007C321C" w:rsidP="006962B6">
      <w:pPr>
        <w:jc w:val="both"/>
        <w:rPr>
          <w:rFonts w:ascii="Arial" w:hAnsi="Arial" w:cs="Arial"/>
          <w:b/>
          <w:color w:val="50575B"/>
          <w:sz w:val="24"/>
          <w:szCs w:val="24"/>
        </w:rPr>
      </w:pPr>
    </w:p>
    <w:p w14:paraId="131BB849" w14:textId="77777777" w:rsidR="007C321C" w:rsidRDefault="007C321C" w:rsidP="006962B6">
      <w:pPr>
        <w:jc w:val="both"/>
        <w:rPr>
          <w:rFonts w:ascii="Arial" w:hAnsi="Arial" w:cs="Arial"/>
          <w:b/>
          <w:color w:val="50575B"/>
          <w:sz w:val="24"/>
          <w:szCs w:val="24"/>
        </w:rPr>
      </w:pPr>
    </w:p>
    <w:p w14:paraId="297984D7" w14:textId="77777777" w:rsidR="007C321C" w:rsidRDefault="007C321C" w:rsidP="006962B6">
      <w:pPr>
        <w:jc w:val="both"/>
        <w:rPr>
          <w:rFonts w:ascii="Arial" w:hAnsi="Arial" w:cs="Arial"/>
          <w:b/>
          <w:color w:val="50575B"/>
          <w:sz w:val="24"/>
          <w:szCs w:val="24"/>
        </w:rPr>
      </w:pPr>
    </w:p>
    <w:p w14:paraId="35E9E80D" w14:textId="77777777" w:rsidR="007C321C" w:rsidRDefault="007C321C" w:rsidP="006962B6">
      <w:pPr>
        <w:jc w:val="both"/>
        <w:rPr>
          <w:rFonts w:ascii="Arial" w:hAnsi="Arial" w:cs="Arial"/>
          <w:b/>
          <w:color w:val="50575B"/>
          <w:sz w:val="24"/>
          <w:szCs w:val="24"/>
        </w:rPr>
      </w:pPr>
    </w:p>
    <w:p w14:paraId="6977FA2F" w14:textId="77777777" w:rsidR="007C321C" w:rsidRDefault="007C321C" w:rsidP="006962B6">
      <w:pPr>
        <w:jc w:val="both"/>
        <w:rPr>
          <w:rFonts w:ascii="Arial" w:hAnsi="Arial" w:cs="Arial"/>
          <w:b/>
          <w:color w:val="50575B"/>
          <w:sz w:val="24"/>
          <w:szCs w:val="24"/>
        </w:rPr>
      </w:pPr>
    </w:p>
    <w:p w14:paraId="3AC5D782" w14:textId="77777777" w:rsidR="007C321C" w:rsidRDefault="007C321C" w:rsidP="006962B6">
      <w:pPr>
        <w:jc w:val="both"/>
        <w:rPr>
          <w:rFonts w:ascii="Arial" w:hAnsi="Arial" w:cs="Arial"/>
          <w:b/>
          <w:color w:val="50575B"/>
          <w:sz w:val="24"/>
          <w:szCs w:val="24"/>
        </w:rPr>
      </w:pPr>
    </w:p>
    <w:p w14:paraId="52E9686C" w14:textId="77777777" w:rsidR="007C321C" w:rsidRDefault="007C321C" w:rsidP="006962B6">
      <w:pPr>
        <w:jc w:val="both"/>
        <w:rPr>
          <w:rFonts w:ascii="Arial" w:hAnsi="Arial" w:cs="Arial"/>
          <w:b/>
          <w:color w:val="50575B"/>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5752"/>
      </w:tblGrid>
      <w:tr w:rsidR="007C321C" w:rsidRPr="00FE524C" w14:paraId="3B89D3F1" w14:textId="77777777" w:rsidTr="007179FE">
        <w:tc>
          <w:tcPr>
            <w:tcW w:w="2554" w:type="dxa"/>
          </w:tcPr>
          <w:p w14:paraId="5F57DB0A" w14:textId="77777777" w:rsidR="007C321C" w:rsidRPr="00FE524C" w:rsidRDefault="007C321C" w:rsidP="007179FE">
            <w:pPr>
              <w:rPr>
                <w:rFonts w:ascii="Arial" w:hAnsi="Arial" w:cs="Arial"/>
                <w:b/>
                <w:sz w:val="24"/>
                <w:szCs w:val="24"/>
              </w:rPr>
            </w:pPr>
            <w:r w:rsidRPr="00FE524C">
              <w:rPr>
                <w:rFonts w:ascii="Arial" w:hAnsi="Arial" w:cs="Arial"/>
                <w:b/>
                <w:sz w:val="24"/>
                <w:szCs w:val="24"/>
              </w:rPr>
              <w:t>TITLE:</w:t>
            </w:r>
          </w:p>
        </w:tc>
        <w:tc>
          <w:tcPr>
            <w:tcW w:w="5752" w:type="dxa"/>
          </w:tcPr>
          <w:p w14:paraId="487AE660" w14:textId="5124A377" w:rsidR="007C321C" w:rsidRPr="00FE524C" w:rsidRDefault="00FC46E6" w:rsidP="007179FE">
            <w:pPr>
              <w:rPr>
                <w:rFonts w:ascii="Arial" w:hAnsi="Arial" w:cs="Arial"/>
                <w:b/>
                <w:sz w:val="24"/>
                <w:szCs w:val="24"/>
              </w:rPr>
            </w:pPr>
            <w:r w:rsidRPr="00FE524C">
              <w:rPr>
                <w:rFonts w:ascii="Arial" w:hAnsi="Arial" w:cs="Arial"/>
                <w:b/>
                <w:sz w:val="24"/>
                <w:szCs w:val="24"/>
              </w:rPr>
              <w:t>Harmful Sexual</w:t>
            </w:r>
            <w:r w:rsidR="007C321C" w:rsidRPr="00FE524C">
              <w:rPr>
                <w:rFonts w:ascii="Arial" w:hAnsi="Arial" w:cs="Arial"/>
                <w:b/>
                <w:sz w:val="24"/>
                <w:szCs w:val="24"/>
              </w:rPr>
              <w:t xml:space="preserve"> Behaviour </w:t>
            </w:r>
          </w:p>
          <w:p w14:paraId="2DE4BF40" w14:textId="77777777" w:rsidR="007C321C" w:rsidRPr="00FE524C" w:rsidRDefault="007C321C" w:rsidP="007179FE">
            <w:pPr>
              <w:rPr>
                <w:rFonts w:ascii="Arial" w:hAnsi="Arial" w:cs="Arial"/>
                <w:b/>
                <w:sz w:val="24"/>
                <w:szCs w:val="24"/>
              </w:rPr>
            </w:pPr>
          </w:p>
        </w:tc>
      </w:tr>
      <w:tr w:rsidR="007C321C" w:rsidRPr="00FE524C" w14:paraId="594E07BC" w14:textId="77777777" w:rsidTr="007179FE">
        <w:tc>
          <w:tcPr>
            <w:tcW w:w="2554" w:type="dxa"/>
          </w:tcPr>
          <w:p w14:paraId="3194884A" w14:textId="77777777" w:rsidR="007C321C" w:rsidRPr="00FE524C" w:rsidRDefault="007C321C" w:rsidP="007179FE">
            <w:pPr>
              <w:rPr>
                <w:rFonts w:ascii="Arial" w:hAnsi="Arial" w:cs="Arial"/>
                <w:b/>
                <w:sz w:val="24"/>
                <w:szCs w:val="24"/>
              </w:rPr>
            </w:pPr>
            <w:r w:rsidRPr="00FE524C">
              <w:rPr>
                <w:rFonts w:ascii="Arial" w:hAnsi="Arial" w:cs="Arial"/>
                <w:b/>
                <w:sz w:val="24"/>
                <w:szCs w:val="24"/>
              </w:rPr>
              <w:t>DATE:</w:t>
            </w:r>
          </w:p>
        </w:tc>
        <w:tc>
          <w:tcPr>
            <w:tcW w:w="5752" w:type="dxa"/>
          </w:tcPr>
          <w:p w14:paraId="2A3D3A27" w14:textId="304641CF" w:rsidR="007C321C" w:rsidRPr="00FE524C" w:rsidRDefault="00FC46E6" w:rsidP="007179FE">
            <w:pPr>
              <w:rPr>
                <w:rFonts w:ascii="Arial" w:hAnsi="Arial" w:cs="Arial"/>
                <w:b/>
                <w:sz w:val="24"/>
                <w:szCs w:val="24"/>
              </w:rPr>
            </w:pPr>
            <w:r>
              <w:rPr>
                <w:rFonts w:ascii="Arial" w:hAnsi="Arial" w:cs="Arial"/>
                <w:b/>
                <w:sz w:val="24"/>
                <w:szCs w:val="24"/>
              </w:rPr>
              <w:t>October 2023</w:t>
            </w:r>
          </w:p>
          <w:p w14:paraId="09ECB7A6" w14:textId="77777777" w:rsidR="007C321C" w:rsidRPr="00FE524C" w:rsidRDefault="007C321C" w:rsidP="007179FE">
            <w:pPr>
              <w:rPr>
                <w:rFonts w:ascii="Arial" w:hAnsi="Arial" w:cs="Arial"/>
                <w:b/>
                <w:sz w:val="24"/>
                <w:szCs w:val="24"/>
              </w:rPr>
            </w:pPr>
          </w:p>
        </w:tc>
      </w:tr>
      <w:tr w:rsidR="007C321C" w:rsidRPr="00FE524C" w14:paraId="7EF1C34A" w14:textId="77777777" w:rsidTr="007179FE">
        <w:tc>
          <w:tcPr>
            <w:tcW w:w="2554" w:type="dxa"/>
          </w:tcPr>
          <w:p w14:paraId="218BAC7D" w14:textId="77777777" w:rsidR="007C321C" w:rsidRPr="00FE524C" w:rsidRDefault="007C321C" w:rsidP="007179FE">
            <w:pPr>
              <w:rPr>
                <w:rFonts w:ascii="Arial" w:hAnsi="Arial" w:cs="Arial"/>
                <w:b/>
                <w:sz w:val="24"/>
                <w:szCs w:val="24"/>
              </w:rPr>
            </w:pPr>
            <w:r w:rsidRPr="00FE524C">
              <w:rPr>
                <w:rFonts w:ascii="Arial" w:hAnsi="Arial" w:cs="Arial"/>
                <w:b/>
                <w:sz w:val="24"/>
                <w:szCs w:val="24"/>
              </w:rPr>
              <w:t>AUTHOR:</w:t>
            </w:r>
          </w:p>
        </w:tc>
        <w:tc>
          <w:tcPr>
            <w:tcW w:w="5752" w:type="dxa"/>
          </w:tcPr>
          <w:p w14:paraId="0664EE30" w14:textId="2E0AC72B" w:rsidR="007C321C" w:rsidRPr="00FE524C" w:rsidRDefault="007C321C" w:rsidP="007179FE">
            <w:pPr>
              <w:rPr>
                <w:rFonts w:ascii="Arial" w:hAnsi="Arial" w:cs="Arial"/>
                <w:b/>
                <w:sz w:val="24"/>
                <w:szCs w:val="24"/>
              </w:rPr>
            </w:pPr>
            <w:r w:rsidRPr="00FE524C">
              <w:rPr>
                <w:rFonts w:ascii="Arial" w:hAnsi="Arial" w:cs="Arial"/>
                <w:b/>
                <w:sz w:val="24"/>
                <w:szCs w:val="24"/>
              </w:rPr>
              <w:t xml:space="preserve">Joseph Devlin – </w:t>
            </w:r>
            <w:r w:rsidRPr="00FE524C">
              <w:rPr>
                <w:rFonts w:ascii="Arial" w:eastAsia="MS Mincho" w:hAnsi="Arial" w:cs="Arial"/>
                <w:b/>
                <w:sz w:val="24"/>
                <w:szCs w:val="24"/>
              </w:rPr>
              <w:t xml:space="preserve">Operations Manager / Thurrock Youth </w:t>
            </w:r>
            <w:r w:rsidR="00FC46E6">
              <w:rPr>
                <w:rFonts w:ascii="Arial" w:eastAsia="MS Mincho" w:hAnsi="Arial" w:cs="Arial"/>
                <w:b/>
                <w:sz w:val="24"/>
                <w:szCs w:val="24"/>
              </w:rPr>
              <w:t xml:space="preserve">Justice Service </w:t>
            </w:r>
            <w:r w:rsidRPr="00FE524C">
              <w:rPr>
                <w:rFonts w:ascii="Arial" w:hAnsi="Arial" w:cs="Arial"/>
                <w:b/>
                <w:sz w:val="24"/>
                <w:szCs w:val="24"/>
              </w:rPr>
              <w:t xml:space="preserve"> </w:t>
            </w:r>
          </w:p>
          <w:p w14:paraId="69125272" w14:textId="77777777" w:rsidR="007C321C" w:rsidRPr="00FE524C" w:rsidRDefault="007C321C" w:rsidP="007179FE">
            <w:pPr>
              <w:rPr>
                <w:rFonts w:ascii="Arial" w:hAnsi="Arial" w:cs="Arial"/>
                <w:b/>
                <w:sz w:val="24"/>
                <w:szCs w:val="24"/>
              </w:rPr>
            </w:pPr>
          </w:p>
        </w:tc>
      </w:tr>
      <w:tr w:rsidR="007C321C" w:rsidRPr="00FE524C" w14:paraId="5E066F35" w14:textId="77777777" w:rsidTr="007179FE">
        <w:tc>
          <w:tcPr>
            <w:tcW w:w="2554" w:type="dxa"/>
          </w:tcPr>
          <w:p w14:paraId="1BDDF2F5" w14:textId="77777777" w:rsidR="007C321C" w:rsidRPr="00FE524C" w:rsidRDefault="007C321C" w:rsidP="007179FE">
            <w:pPr>
              <w:rPr>
                <w:rFonts w:ascii="Arial" w:eastAsia="MS Mincho" w:hAnsi="Arial" w:cs="Arial"/>
                <w:b/>
                <w:sz w:val="24"/>
                <w:szCs w:val="24"/>
              </w:rPr>
            </w:pPr>
            <w:r w:rsidRPr="00FE524C">
              <w:rPr>
                <w:rFonts w:ascii="Arial" w:eastAsia="MS Mincho" w:hAnsi="Arial" w:cs="Arial"/>
                <w:b/>
                <w:sz w:val="24"/>
                <w:szCs w:val="24"/>
              </w:rPr>
              <w:t>APPROVED:</w:t>
            </w:r>
          </w:p>
        </w:tc>
        <w:tc>
          <w:tcPr>
            <w:tcW w:w="5752" w:type="dxa"/>
          </w:tcPr>
          <w:p w14:paraId="2CBE6B42" w14:textId="316F26B2" w:rsidR="007C321C" w:rsidRPr="00FE524C" w:rsidRDefault="007C321C" w:rsidP="007179FE">
            <w:pPr>
              <w:rPr>
                <w:rFonts w:ascii="Arial" w:eastAsia="MS Mincho" w:hAnsi="Arial" w:cs="Arial"/>
                <w:b/>
                <w:sz w:val="24"/>
                <w:szCs w:val="24"/>
              </w:rPr>
            </w:pPr>
            <w:r w:rsidRPr="00FE524C">
              <w:rPr>
                <w:rFonts w:ascii="Arial" w:eastAsia="MS Mincho" w:hAnsi="Arial" w:cs="Arial"/>
                <w:b/>
                <w:sz w:val="24"/>
                <w:szCs w:val="24"/>
              </w:rPr>
              <w:t xml:space="preserve">Clare Moore </w:t>
            </w:r>
            <w:r w:rsidR="00D97E7C">
              <w:rPr>
                <w:rFonts w:ascii="Arial" w:eastAsia="MS Mincho" w:hAnsi="Arial" w:cs="Arial"/>
                <w:b/>
                <w:sz w:val="24"/>
                <w:szCs w:val="24"/>
              </w:rPr>
              <w:t>–</w:t>
            </w:r>
            <w:r w:rsidRPr="00FE524C">
              <w:rPr>
                <w:rFonts w:ascii="Arial" w:eastAsia="MS Mincho" w:hAnsi="Arial" w:cs="Arial"/>
                <w:b/>
                <w:sz w:val="24"/>
                <w:szCs w:val="24"/>
              </w:rPr>
              <w:t xml:space="preserve"> </w:t>
            </w:r>
            <w:r w:rsidR="00D97E7C">
              <w:rPr>
                <w:rFonts w:ascii="Arial" w:eastAsia="MS Mincho" w:hAnsi="Arial" w:cs="Arial"/>
                <w:b/>
                <w:sz w:val="24"/>
                <w:szCs w:val="24"/>
              </w:rPr>
              <w:t xml:space="preserve">Head of Service </w:t>
            </w:r>
            <w:r w:rsidRPr="00FE524C">
              <w:rPr>
                <w:rFonts w:ascii="Arial" w:eastAsia="MS Mincho" w:hAnsi="Arial" w:cs="Arial"/>
                <w:b/>
                <w:sz w:val="24"/>
                <w:szCs w:val="24"/>
              </w:rPr>
              <w:t xml:space="preserve">- Youth </w:t>
            </w:r>
            <w:r w:rsidR="00FC46E6">
              <w:rPr>
                <w:rFonts w:ascii="Arial" w:eastAsia="MS Mincho" w:hAnsi="Arial" w:cs="Arial"/>
                <w:b/>
                <w:sz w:val="24"/>
                <w:szCs w:val="24"/>
              </w:rPr>
              <w:t xml:space="preserve">Justice </w:t>
            </w:r>
            <w:r w:rsidRPr="00FE524C">
              <w:rPr>
                <w:rFonts w:ascii="Arial" w:eastAsia="MS Mincho" w:hAnsi="Arial" w:cs="Arial"/>
                <w:b/>
                <w:sz w:val="24"/>
                <w:szCs w:val="24"/>
              </w:rPr>
              <w:t>Service and Prevention</w:t>
            </w:r>
          </w:p>
          <w:p w14:paraId="20259D0B" w14:textId="77777777" w:rsidR="007C321C" w:rsidRPr="00FE524C" w:rsidRDefault="007C321C" w:rsidP="007179FE">
            <w:pPr>
              <w:rPr>
                <w:rFonts w:ascii="Arial" w:eastAsia="MS Mincho" w:hAnsi="Arial" w:cs="Arial"/>
                <w:b/>
                <w:sz w:val="24"/>
                <w:szCs w:val="24"/>
              </w:rPr>
            </w:pPr>
          </w:p>
        </w:tc>
      </w:tr>
      <w:tr w:rsidR="007C321C" w:rsidRPr="00FE524C" w14:paraId="54C228DC" w14:textId="77777777" w:rsidTr="007179FE">
        <w:tc>
          <w:tcPr>
            <w:tcW w:w="2554" w:type="dxa"/>
          </w:tcPr>
          <w:p w14:paraId="37E537A5" w14:textId="77777777" w:rsidR="007C321C" w:rsidRPr="00FE524C" w:rsidRDefault="007C321C" w:rsidP="007179FE">
            <w:pPr>
              <w:rPr>
                <w:rFonts w:ascii="Arial" w:hAnsi="Arial" w:cs="Arial"/>
                <w:b/>
                <w:sz w:val="24"/>
                <w:szCs w:val="24"/>
              </w:rPr>
            </w:pPr>
            <w:r w:rsidRPr="00FE524C">
              <w:rPr>
                <w:rFonts w:ascii="Arial" w:hAnsi="Arial" w:cs="Arial"/>
                <w:b/>
                <w:sz w:val="24"/>
                <w:szCs w:val="24"/>
              </w:rPr>
              <w:t>DATE OF NEXT REVIEW:</w:t>
            </w:r>
          </w:p>
          <w:p w14:paraId="6F94844A" w14:textId="77777777" w:rsidR="007C321C" w:rsidRPr="00FE524C" w:rsidRDefault="007C321C" w:rsidP="007179FE">
            <w:pPr>
              <w:rPr>
                <w:rFonts w:ascii="Arial" w:hAnsi="Arial" w:cs="Arial"/>
                <w:b/>
                <w:sz w:val="24"/>
                <w:szCs w:val="24"/>
              </w:rPr>
            </w:pPr>
          </w:p>
        </w:tc>
        <w:tc>
          <w:tcPr>
            <w:tcW w:w="5752" w:type="dxa"/>
          </w:tcPr>
          <w:p w14:paraId="2FA3F26F" w14:textId="77777777" w:rsidR="007C321C" w:rsidRPr="00FE524C" w:rsidRDefault="007C321C" w:rsidP="007179FE">
            <w:pPr>
              <w:rPr>
                <w:rFonts w:ascii="Arial" w:hAnsi="Arial" w:cs="Arial"/>
                <w:b/>
                <w:sz w:val="24"/>
                <w:szCs w:val="24"/>
              </w:rPr>
            </w:pPr>
          </w:p>
          <w:p w14:paraId="3F98675D" w14:textId="3D5EA9EC" w:rsidR="007C321C" w:rsidRPr="00FE524C" w:rsidRDefault="003B6316" w:rsidP="007179FE">
            <w:pPr>
              <w:rPr>
                <w:rFonts w:ascii="Arial" w:hAnsi="Arial" w:cs="Arial"/>
                <w:b/>
                <w:sz w:val="24"/>
                <w:szCs w:val="24"/>
              </w:rPr>
            </w:pPr>
            <w:r>
              <w:rPr>
                <w:rFonts w:ascii="Arial" w:hAnsi="Arial" w:cs="Arial"/>
                <w:b/>
                <w:sz w:val="24"/>
                <w:szCs w:val="24"/>
              </w:rPr>
              <w:t>October 202</w:t>
            </w:r>
            <w:r w:rsidR="00FC46E6">
              <w:rPr>
                <w:rFonts w:ascii="Arial" w:hAnsi="Arial" w:cs="Arial"/>
                <w:b/>
                <w:sz w:val="24"/>
                <w:szCs w:val="24"/>
              </w:rPr>
              <w:t>6</w:t>
            </w:r>
          </w:p>
        </w:tc>
      </w:tr>
      <w:tr w:rsidR="007C321C" w:rsidRPr="00FE524C" w14:paraId="49699064" w14:textId="77777777" w:rsidTr="007179FE">
        <w:tc>
          <w:tcPr>
            <w:tcW w:w="2554" w:type="dxa"/>
          </w:tcPr>
          <w:p w14:paraId="37A6641A" w14:textId="77777777" w:rsidR="007C321C" w:rsidRPr="00FE524C" w:rsidRDefault="007C321C" w:rsidP="007179FE">
            <w:pPr>
              <w:rPr>
                <w:rFonts w:ascii="Arial" w:hAnsi="Arial" w:cs="Arial"/>
                <w:b/>
                <w:sz w:val="24"/>
                <w:szCs w:val="24"/>
              </w:rPr>
            </w:pPr>
            <w:r w:rsidRPr="00FE524C">
              <w:rPr>
                <w:rFonts w:ascii="Arial" w:hAnsi="Arial" w:cs="Arial"/>
                <w:b/>
                <w:sz w:val="24"/>
                <w:szCs w:val="24"/>
              </w:rPr>
              <w:t>VERSION:</w:t>
            </w:r>
          </w:p>
        </w:tc>
        <w:tc>
          <w:tcPr>
            <w:tcW w:w="5752" w:type="dxa"/>
          </w:tcPr>
          <w:p w14:paraId="055B0DAB" w14:textId="63698547" w:rsidR="007C321C" w:rsidRPr="00FE524C" w:rsidRDefault="00FC46E6" w:rsidP="007179FE">
            <w:pPr>
              <w:rPr>
                <w:rFonts w:ascii="Arial" w:hAnsi="Arial" w:cs="Arial"/>
                <w:b/>
                <w:sz w:val="24"/>
                <w:szCs w:val="24"/>
              </w:rPr>
            </w:pPr>
            <w:r>
              <w:rPr>
                <w:rFonts w:ascii="Arial" w:hAnsi="Arial" w:cs="Arial"/>
                <w:b/>
                <w:sz w:val="24"/>
                <w:szCs w:val="24"/>
              </w:rPr>
              <w:t>2</w:t>
            </w:r>
            <w:r w:rsidR="007C321C" w:rsidRPr="00FE524C">
              <w:rPr>
                <w:rFonts w:ascii="Arial" w:hAnsi="Arial" w:cs="Arial"/>
                <w:b/>
                <w:sz w:val="24"/>
                <w:szCs w:val="24"/>
              </w:rPr>
              <w:t>.0</w:t>
            </w:r>
          </w:p>
          <w:p w14:paraId="112812E5" w14:textId="77777777" w:rsidR="007C321C" w:rsidRPr="00FE524C" w:rsidRDefault="007C321C" w:rsidP="007179FE">
            <w:pPr>
              <w:rPr>
                <w:rFonts w:ascii="Arial" w:hAnsi="Arial" w:cs="Arial"/>
                <w:b/>
                <w:sz w:val="24"/>
                <w:szCs w:val="24"/>
              </w:rPr>
            </w:pPr>
          </w:p>
        </w:tc>
      </w:tr>
      <w:tr w:rsidR="007C321C" w:rsidRPr="00FE524C" w14:paraId="237ED19B" w14:textId="77777777" w:rsidTr="007179FE">
        <w:tc>
          <w:tcPr>
            <w:tcW w:w="2554" w:type="dxa"/>
          </w:tcPr>
          <w:p w14:paraId="71D524D1" w14:textId="77777777" w:rsidR="007C321C" w:rsidRPr="00FE524C" w:rsidRDefault="007C321C" w:rsidP="007179FE">
            <w:pPr>
              <w:rPr>
                <w:rFonts w:ascii="Arial" w:hAnsi="Arial" w:cs="Arial"/>
                <w:b/>
                <w:sz w:val="24"/>
                <w:szCs w:val="24"/>
              </w:rPr>
            </w:pPr>
            <w:r w:rsidRPr="00FE524C">
              <w:rPr>
                <w:rFonts w:ascii="Arial" w:hAnsi="Arial" w:cs="Arial"/>
                <w:b/>
                <w:sz w:val="24"/>
                <w:szCs w:val="24"/>
              </w:rPr>
              <w:t>Modified:</w:t>
            </w:r>
          </w:p>
        </w:tc>
        <w:tc>
          <w:tcPr>
            <w:tcW w:w="5752" w:type="dxa"/>
          </w:tcPr>
          <w:p w14:paraId="18F253A0" w14:textId="77777777" w:rsidR="007C321C" w:rsidRPr="00FE524C" w:rsidRDefault="007C321C" w:rsidP="007179FE">
            <w:pPr>
              <w:rPr>
                <w:rFonts w:ascii="Arial" w:hAnsi="Arial" w:cs="Arial"/>
                <w:b/>
                <w:sz w:val="24"/>
                <w:szCs w:val="24"/>
              </w:rPr>
            </w:pPr>
          </w:p>
        </w:tc>
      </w:tr>
    </w:tbl>
    <w:p w14:paraId="533BEECA" w14:textId="77777777" w:rsidR="007C321C" w:rsidRPr="00FE524C" w:rsidRDefault="007C321C" w:rsidP="006962B6">
      <w:pPr>
        <w:jc w:val="both"/>
        <w:rPr>
          <w:rFonts w:ascii="Arial" w:hAnsi="Arial" w:cs="Arial"/>
          <w:b/>
          <w:color w:val="50575B"/>
          <w:sz w:val="24"/>
          <w:szCs w:val="24"/>
        </w:rPr>
      </w:pPr>
    </w:p>
    <w:p w14:paraId="3D44A029" w14:textId="77777777" w:rsidR="007C321C" w:rsidRDefault="007C321C" w:rsidP="006962B6">
      <w:pPr>
        <w:jc w:val="both"/>
        <w:rPr>
          <w:rFonts w:ascii="Arial" w:hAnsi="Arial" w:cs="Arial"/>
          <w:b/>
          <w:color w:val="50575B"/>
          <w:sz w:val="24"/>
          <w:szCs w:val="24"/>
        </w:rPr>
      </w:pPr>
    </w:p>
    <w:p w14:paraId="0CC12A80" w14:textId="77777777" w:rsidR="007C321C" w:rsidRDefault="007C321C" w:rsidP="006962B6">
      <w:pPr>
        <w:jc w:val="both"/>
        <w:rPr>
          <w:rFonts w:ascii="Arial" w:hAnsi="Arial" w:cs="Arial"/>
          <w:b/>
          <w:color w:val="50575B"/>
          <w:sz w:val="24"/>
          <w:szCs w:val="24"/>
        </w:rPr>
      </w:pPr>
    </w:p>
    <w:p w14:paraId="69882FAA" w14:textId="77777777" w:rsidR="007C321C" w:rsidRDefault="007C321C" w:rsidP="006962B6">
      <w:pPr>
        <w:jc w:val="both"/>
        <w:rPr>
          <w:rFonts w:ascii="Arial" w:hAnsi="Arial" w:cs="Arial"/>
          <w:b/>
          <w:color w:val="50575B"/>
          <w:sz w:val="24"/>
          <w:szCs w:val="24"/>
        </w:rPr>
      </w:pPr>
    </w:p>
    <w:p w14:paraId="28996B52" w14:textId="77777777" w:rsidR="007C321C" w:rsidRDefault="007C321C" w:rsidP="006962B6">
      <w:pPr>
        <w:jc w:val="both"/>
        <w:rPr>
          <w:rFonts w:ascii="Arial" w:hAnsi="Arial" w:cs="Arial"/>
          <w:b/>
          <w:color w:val="50575B"/>
          <w:sz w:val="24"/>
          <w:szCs w:val="24"/>
        </w:rPr>
      </w:pPr>
    </w:p>
    <w:p w14:paraId="20B6E51C" w14:textId="77777777" w:rsidR="007C321C" w:rsidRDefault="007C321C" w:rsidP="006962B6">
      <w:pPr>
        <w:jc w:val="both"/>
        <w:rPr>
          <w:rFonts w:ascii="Arial" w:hAnsi="Arial" w:cs="Arial"/>
          <w:b/>
          <w:color w:val="50575B"/>
          <w:sz w:val="24"/>
          <w:szCs w:val="24"/>
        </w:rPr>
      </w:pPr>
    </w:p>
    <w:p w14:paraId="23801F1E" w14:textId="77777777" w:rsidR="007C321C" w:rsidRDefault="007C321C" w:rsidP="006962B6">
      <w:pPr>
        <w:jc w:val="both"/>
        <w:rPr>
          <w:rFonts w:ascii="Arial" w:hAnsi="Arial" w:cs="Arial"/>
          <w:b/>
          <w:color w:val="50575B"/>
          <w:sz w:val="24"/>
          <w:szCs w:val="24"/>
        </w:rPr>
      </w:pPr>
    </w:p>
    <w:p w14:paraId="0536815E" w14:textId="77777777" w:rsidR="007C321C" w:rsidRDefault="007C321C" w:rsidP="006962B6">
      <w:pPr>
        <w:jc w:val="both"/>
        <w:rPr>
          <w:rFonts w:ascii="Arial" w:hAnsi="Arial" w:cs="Arial"/>
          <w:b/>
          <w:color w:val="50575B"/>
          <w:sz w:val="24"/>
          <w:szCs w:val="24"/>
        </w:rPr>
      </w:pPr>
    </w:p>
    <w:p w14:paraId="170DA0DC" w14:textId="77777777" w:rsidR="007C321C" w:rsidRDefault="007C321C" w:rsidP="006962B6">
      <w:pPr>
        <w:jc w:val="both"/>
        <w:rPr>
          <w:rFonts w:ascii="Arial" w:hAnsi="Arial" w:cs="Arial"/>
          <w:b/>
          <w:color w:val="50575B"/>
          <w:sz w:val="24"/>
          <w:szCs w:val="24"/>
        </w:rPr>
      </w:pPr>
    </w:p>
    <w:p w14:paraId="00E0C3C2" w14:textId="77777777" w:rsidR="007C321C" w:rsidRDefault="007C321C" w:rsidP="006962B6">
      <w:pPr>
        <w:jc w:val="both"/>
        <w:rPr>
          <w:rFonts w:ascii="Arial" w:hAnsi="Arial" w:cs="Arial"/>
          <w:b/>
          <w:color w:val="50575B"/>
          <w:sz w:val="24"/>
          <w:szCs w:val="24"/>
        </w:rPr>
      </w:pPr>
    </w:p>
    <w:p w14:paraId="49C2A6EB" w14:textId="77777777" w:rsidR="007C321C" w:rsidRDefault="007C321C" w:rsidP="006962B6">
      <w:pPr>
        <w:jc w:val="both"/>
        <w:rPr>
          <w:rFonts w:ascii="Arial" w:hAnsi="Arial" w:cs="Arial"/>
          <w:b/>
          <w:color w:val="50575B"/>
          <w:sz w:val="24"/>
          <w:szCs w:val="24"/>
        </w:rPr>
      </w:pPr>
    </w:p>
    <w:p w14:paraId="4B8A5D1D" w14:textId="77777777" w:rsidR="007C321C" w:rsidRDefault="007C321C" w:rsidP="006962B6">
      <w:pPr>
        <w:jc w:val="both"/>
        <w:rPr>
          <w:rFonts w:ascii="Arial" w:hAnsi="Arial" w:cs="Arial"/>
          <w:b/>
          <w:color w:val="50575B"/>
          <w:sz w:val="24"/>
          <w:szCs w:val="24"/>
        </w:rPr>
      </w:pPr>
    </w:p>
    <w:p w14:paraId="1622FB61" w14:textId="4327064F" w:rsidR="00FF4036" w:rsidRPr="006962B6" w:rsidRDefault="00BD37B2" w:rsidP="006962B6">
      <w:pPr>
        <w:jc w:val="both"/>
        <w:rPr>
          <w:rFonts w:ascii="Arial" w:hAnsi="Arial" w:cs="Arial"/>
          <w:b/>
          <w:color w:val="50575B"/>
          <w:sz w:val="24"/>
          <w:szCs w:val="24"/>
        </w:rPr>
      </w:pPr>
      <w:r w:rsidRPr="006962B6">
        <w:rPr>
          <w:rFonts w:ascii="Arial" w:hAnsi="Arial" w:cs="Arial"/>
          <w:b/>
          <w:color w:val="50575B"/>
          <w:sz w:val="24"/>
          <w:szCs w:val="24"/>
        </w:rPr>
        <w:lastRenderedPageBreak/>
        <w:t xml:space="preserve">Thurrock </w:t>
      </w:r>
      <w:r w:rsidR="00FC46E6">
        <w:rPr>
          <w:rFonts w:ascii="Arial" w:hAnsi="Arial" w:cs="Arial"/>
          <w:b/>
          <w:color w:val="50575B"/>
          <w:sz w:val="24"/>
          <w:szCs w:val="24"/>
        </w:rPr>
        <w:t xml:space="preserve">Youth Justice Service </w:t>
      </w:r>
      <w:r w:rsidRPr="006962B6">
        <w:rPr>
          <w:rFonts w:ascii="Arial" w:hAnsi="Arial" w:cs="Arial"/>
          <w:b/>
          <w:color w:val="50575B"/>
          <w:sz w:val="24"/>
          <w:szCs w:val="24"/>
        </w:rPr>
        <w:t xml:space="preserve">and Thurrock Children’s </w:t>
      </w:r>
      <w:r w:rsidR="00100FA5" w:rsidRPr="006962B6">
        <w:rPr>
          <w:rFonts w:ascii="Arial" w:hAnsi="Arial" w:cs="Arial"/>
          <w:b/>
          <w:color w:val="50575B"/>
          <w:sz w:val="24"/>
          <w:szCs w:val="24"/>
        </w:rPr>
        <w:t xml:space="preserve">Services </w:t>
      </w:r>
      <w:r w:rsidRPr="006962B6">
        <w:rPr>
          <w:rFonts w:ascii="Arial" w:hAnsi="Arial" w:cs="Arial"/>
          <w:b/>
          <w:color w:val="50575B"/>
          <w:sz w:val="24"/>
          <w:szCs w:val="24"/>
        </w:rPr>
        <w:t xml:space="preserve">policy to identify Harmful Sexual Behaviour displayed by Adolescents and Children. </w:t>
      </w:r>
    </w:p>
    <w:p w14:paraId="5712638C" w14:textId="77777777" w:rsidR="00BD37B2" w:rsidRPr="006962B6" w:rsidRDefault="00BD37B2" w:rsidP="006962B6">
      <w:pPr>
        <w:pStyle w:val="ListParagraph"/>
        <w:numPr>
          <w:ilvl w:val="0"/>
          <w:numId w:val="3"/>
        </w:numPr>
        <w:shd w:val="clear" w:color="auto" w:fill="FFFFFF"/>
        <w:spacing w:after="0" w:line="240" w:lineRule="auto"/>
        <w:ind w:left="426" w:hanging="426"/>
        <w:jc w:val="both"/>
        <w:outlineLvl w:val="1"/>
        <w:rPr>
          <w:rFonts w:ascii="Arial" w:eastAsia="Times New Roman" w:hAnsi="Arial" w:cs="Arial"/>
          <w:b/>
          <w:bCs/>
          <w:color w:val="50575B"/>
          <w:sz w:val="24"/>
          <w:szCs w:val="24"/>
          <w:lang w:eastAsia="en-GB"/>
        </w:rPr>
      </w:pPr>
      <w:r w:rsidRPr="006962B6">
        <w:rPr>
          <w:rFonts w:ascii="Arial" w:eastAsia="Times New Roman" w:hAnsi="Arial" w:cs="Arial"/>
          <w:b/>
          <w:bCs/>
          <w:color w:val="50575B"/>
          <w:sz w:val="24"/>
          <w:szCs w:val="24"/>
          <w:lang w:eastAsia="en-GB"/>
        </w:rPr>
        <w:t>Introduction</w:t>
      </w:r>
    </w:p>
    <w:p w14:paraId="7781CB3F" w14:textId="77777777" w:rsidR="006962B6" w:rsidRPr="006962B6" w:rsidRDefault="006962B6" w:rsidP="006962B6">
      <w:pPr>
        <w:pStyle w:val="ListParagraph"/>
        <w:shd w:val="clear" w:color="auto" w:fill="FFFFFF"/>
        <w:spacing w:after="0" w:line="240" w:lineRule="auto"/>
        <w:jc w:val="both"/>
        <w:outlineLvl w:val="1"/>
        <w:rPr>
          <w:rFonts w:ascii="Arial" w:eastAsia="Times New Roman" w:hAnsi="Arial" w:cs="Arial"/>
          <w:b/>
          <w:bCs/>
          <w:color w:val="50575B"/>
          <w:sz w:val="24"/>
          <w:szCs w:val="24"/>
          <w:lang w:eastAsia="en-GB"/>
        </w:rPr>
      </w:pPr>
    </w:p>
    <w:p w14:paraId="495F247A" w14:textId="77777777" w:rsidR="00BD37B2" w:rsidRDefault="00BD37B2" w:rsidP="006962B6">
      <w:pPr>
        <w:shd w:val="clear" w:color="auto" w:fill="FFFFFF"/>
        <w:spacing w:after="0" w:line="240" w:lineRule="auto"/>
        <w:jc w:val="both"/>
        <w:rPr>
          <w:rFonts w:ascii="Arial" w:eastAsia="Times New Roman" w:hAnsi="Arial" w:cs="Arial"/>
          <w:bCs/>
          <w:color w:val="666666"/>
          <w:sz w:val="24"/>
          <w:szCs w:val="24"/>
          <w:lang w:eastAsia="en-GB"/>
        </w:rPr>
      </w:pPr>
      <w:r w:rsidRPr="006962B6">
        <w:rPr>
          <w:rFonts w:ascii="Arial" w:eastAsia="Times New Roman" w:hAnsi="Arial" w:cs="Arial"/>
          <w:bCs/>
          <w:color w:val="666666"/>
          <w:sz w:val="24"/>
          <w:szCs w:val="24"/>
          <w:lang w:eastAsia="en-GB"/>
        </w:rPr>
        <w:t xml:space="preserve">This policy aims to identify when sexual behaviour by children and young people should be considered harmful, or when it can be considered in the context of normal behaviour. </w:t>
      </w:r>
    </w:p>
    <w:p w14:paraId="62072812" w14:textId="77777777" w:rsidR="006962B6" w:rsidRPr="006962B6" w:rsidRDefault="006962B6" w:rsidP="006962B6">
      <w:pPr>
        <w:shd w:val="clear" w:color="auto" w:fill="FFFFFF"/>
        <w:spacing w:after="0" w:line="240" w:lineRule="auto"/>
        <w:jc w:val="both"/>
        <w:rPr>
          <w:rFonts w:ascii="Arial" w:eastAsia="Times New Roman" w:hAnsi="Arial" w:cs="Arial"/>
          <w:bCs/>
          <w:color w:val="666666"/>
          <w:sz w:val="24"/>
          <w:szCs w:val="24"/>
          <w:lang w:eastAsia="en-GB"/>
        </w:rPr>
      </w:pPr>
    </w:p>
    <w:p w14:paraId="47992CE1" w14:textId="77777777" w:rsidR="00BD37B2" w:rsidRDefault="00BD37B2"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The Criminal Justice Joint Inspection “‘Examining Multi-Agency Responses to Children and Young People who Sexually Offend highlighted that:</w:t>
      </w:r>
    </w:p>
    <w:p w14:paraId="5A5B949F" w14:textId="77777777" w:rsidR="006962B6" w:rsidRPr="006962B6" w:rsidRDefault="006962B6" w:rsidP="006962B6">
      <w:pPr>
        <w:shd w:val="clear" w:color="auto" w:fill="FFFFFF"/>
        <w:spacing w:after="0" w:line="240" w:lineRule="auto"/>
        <w:jc w:val="both"/>
        <w:rPr>
          <w:rFonts w:ascii="Arial" w:eastAsia="Times New Roman" w:hAnsi="Arial" w:cs="Arial"/>
          <w:color w:val="5A5B5B"/>
          <w:sz w:val="24"/>
          <w:szCs w:val="24"/>
          <w:lang w:eastAsia="en-GB"/>
        </w:rPr>
      </w:pPr>
    </w:p>
    <w:p w14:paraId="06616C49" w14:textId="77777777" w:rsidR="00BD37B2" w:rsidRDefault="00BD37B2" w:rsidP="006962B6">
      <w:pPr>
        <w:numPr>
          <w:ilvl w:val="0"/>
          <w:numId w:val="1"/>
        </w:num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Cases were slow to get to </w:t>
      </w:r>
      <w:proofErr w:type="gramStart"/>
      <w:r w:rsidRPr="006962B6">
        <w:rPr>
          <w:rFonts w:ascii="Arial" w:eastAsia="Times New Roman" w:hAnsi="Arial" w:cs="Arial"/>
          <w:color w:val="5A5B5B"/>
          <w:sz w:val="24"/>
          <w:szCs w:val="24"/>
          <w:lang w:eastAsia="en-GB"/>
        </w:rPr>
        <w:t>court, and</w:t>
      </w:r>
      <w:proofErr w:type="gramEnd"/>
      <w:r w:rsidRPr="006962B6">
        <w:rPr>
          <w:rFonts w:ascii="Arial" w:eastAsia="Times New Roman" w:hAnsi="Arial" w:cs="Arial"/>
          <w:color w:val="5A5B5B"/>
          <w:sz w:val="24"/>
          <w:szCs w:val="24"/>
          <w:lang w:eastAsia="en-GB"/>
        </w:rPr>
        <w:t xml:space="preserve"> took an average eight months between disclosure and sentence, resulting in lengthy periods when little or no work</w:t>
      </w:r>
      <w:r w:rsidR="006962B6">
        <w:rPr>
          <w:rFonts w:ascii="Arial" w:eastAsia="Times New Roman" w:hAnsi="Arial" w:cs="Arial"/>
          <w:color w:val="5A5B5B"/>
          <w:sz w:val="24"/>
          <w:szCs w:val="24"/>
          <w:lang w:eastAsia="en-GB"/>
        </w:rPr>
        <w:t xml:space="preserve"> was done with the young person.</w:t>
      </w:r>
    </w:p>
    <w:p w14:paraId="6283DBCC" w14:textId="77777777" w:rsidR="006962B6" w:rsidRPr="006962B6" w:rsidRDefault="006962B6" w:rsidP="006962B6">
      <w:pPr>
        <w:shd w:val="clear" w:color="auto" w:fill="FFFFFF"/>
        <w:spacing w:after="0" w:line="240" w:lineRule="auto"/>
        <w:ind w:left="720"/>
        <w:jc w:val="both"/>
        <w:rPr>
          <w:rFonts w:ascii="Arial" w:eastAsia="Times New Roman" w:hAnsi="Arial" w:cs="Arial"/>
          <w:color w:val="5A5B5B"/>
          <w:sz w:val="24"/>
          <w:szCs w:val="24"/>
          <w:lang w:eastAsia="en-GB"/>
        </w:rPr>
      </w:pPr>
    </w:p>
    <w:p w14:paraId="7794128C" w14:textId="77777777" w:rsidR="00BD37B2" w:rsidRDefault="00BD37B2" w:rsidP="006962B6">
      <w:pPr>
        <w:numPr>
          <w:ilvl w:val="0"/>
          <w:numId w:val="1"/>
        </w:numPr>
        <w:shd w:val="clear" w:color="auto" w:fill="FFFFFF"/>
        <w:spacing w:after="0" w:line="240" w:lineRule="auto"/>
        <w:ind w:left="714" w:hanging="357"/>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Much work was characterised by poor communication between the relevant agencies, with inadequat</w:t>
      </w:r>
      <w:r w:rsidR="006962B6">
        <w:rPr>
          <w:rFonts w:ascii="Arial" w:eastAsia="Times New Roman" w:hAnsi="Arial" w:cs="Arial"/>
          <w:color w:val="5A5B5B"/>
          <w:sz w:val="24"/>
          <w:szCs w:val="24"/>
          <w:lang w:eastAsia="en-GB"/>
        </w:rPr>
        <w:t>e assessment and joint planning.</w:t>
      </w:r>
    </w:p>
    <w:p w14:paraId="06988537" w14:textId="77777777" w:rsidR="006962B6" w:rsidRDefault="006962B6" w:rsidP="006962B6">
      <w:pPr>
        <w:pStyle w:val="ListParagraph"/>
        <w:spacing w:after="0" w:line="240" w:lineRule="auto"/>
        <w:rPr>
          <w:rFonts w:ascii="Arial" w:eastAsia="Times New Roman" w:hAnsi="Arial" w:cs="Arial"/>
          <w:color w:val="5A5B5B"/>
          <w:sz w:val="24"/>
          <w:szCs w:val="24"/>
          <w:lang w:eastAsia="en-GB"/>
        </w:rPr>
      </w:pPr>
    </w:p>
    <w:p w14:paraId="243B484D" w14:textId="77777777" w:rsidR="00BD37B2" w:rsidRDefault="00BD37B2" w:rsidP="006962B6">
      <w:pPr>
        <w:numPr>
          <w:ilvl w:val="0"/>
          <w:numId w:val="1"/>
        </w:numPr>
        <w:shd w:val="clear" w:color="auto" w:fill="FFFFFF"/>
        <w:spacing w:after="0" w:line="240" w:lineRule="auto"/>
        <w:ind w:left="714" w:hanging="357"/>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Many young people had complex and multiple needs and positive examples of holistic interventions to address these delivered by a range of agencies were rare</w:t>
      </w:r>
      <w:r w:rsidR="006962B6">
        <w:rPr>
          <w:rFonts w:ascii="Arial" w:eastAsia="Times New Roman" w:hAnsi="Arial" w:cs="Arial"/>
          <w:color w:val="5A5B5B"/>
          <w:sz w:val="24"/>
          <w:szCs w:val="24"/>
          <w:lang w:eastAsia="en-GB"/>
        </w:rPr>
        <w:t>.</w:t>
      </w:r>
    </w:p>
    <w:p w14:paraId="11518A17" w14:textId="77777777" w:rsidR="006962B6" w:rsidRPr="006962B6" w:rsidRDefault="006962B6" w:rsidP="006962B6">
      <w:pPr>
        <w:shd w:val="clear" w:color="auto" w:fill="FFFFFF"/>
        <w:spacing w:after="0" w:line="240" w:lineRule="auto"/>
        <w:ind w:left="714"/>
        <w:jc w:val="both"/>
        <w:rPr>
          <w:rFonts w:ascii="Arial" w:eastAsia="Times New Roman" w:hAnsi="Arial" w:cs="Arial"/>
          <w:color w:val="5A5B5B"/>
          <w:sz w:val="24"/>
          <w:szCs w:val="24"/>
          <w:lang w:eastAsia="en-GB"/>
        </w:rPr>
      </w:pPr>
    </w:p>
    <w:p w14:paraId="002B5F37" w14:textId="54EA7F6B" w:rsidR="00BD37B2" w:rsidRDefault="00BD37B2" w:rsidP="006962B6">
      <w:pPr>
        <w:numPr>
          <w:ilvl w:val="0"/>
          <w:numId w:val="1"/>
        </w:num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Once these children had been picked up by the justice system, their chances for rehabilitation improved and they clearly benefited by the child focused approach of </w:t>
      </w:r>
      <w:r w:rsidR="00FC46E6">
        <w:rPr>
          <w:rFonts w:ascii="Arial" w:eastAsia="Times New Roman" w:hAnsi="Arial" w:cs="Arial"/>
          <w:color w:val="5A5B5B"/>
          <w:sz w:val="24"/>
          <w:szCs w:val="24"/>
          <w:lang w:eastAsia="en-GB"/>
        </w:rPr>
        <w:t>YJS</w:t>
      </w:r>
      <w:r w:rsidRPr="006962B6">
        <w:rPr>
          <w:rFonts w:ascii="Arial" w:eastAsia="Times New Roman" w:hAnsi="Arial" w:cs="Arial"/>
          <w:color w:val="5A5B5B"/>
          <w:sz w:val="24"/>
          <w:szCs w:val="24"/>
          <w:lang w:eastAsia="en-GB"/>
        </w:rPr>
        <w:t xml:space="preserve"> workers; and</w:t>
      </w:r>
    </w:p>
    <w:p w14:paraId="1AF05FB4" w14:textId="77777777" w:rsidR="006962B6" w:rsidRDefault="006962B6" w:rsidP="006962B6">
      <w:pPr>
        <w:pStyle w:val="ListParagraph"/>
        <w:spacing w:after="0" w:line="240" w:lineRule="auto"/>
        <w:rPr>
          <w:rFonts w:ascii="Arial" w:eastAsia="Times New Roman" w:hAnsi="Arial" w:cs="Arial"/>
          <w:color w:val="5A5B5B"/>
          <w:sz w:val="24"/>
          <w:szCs w:val="24"/>
          <w:lang w:eastAsia="en-GB"/>
        </w:rPr>
      </w:pPr>
    </w:p>
    <w:p w14:paraId="12944201" w14:textId="77777777" w:rsidR="00BD37B2" w:rsidRDefault="00BD37B2" w:rsidP="006962B6">
      <w:pPr>
        <w:numPr>
          <w:ilvl w:val="0"/>
          <w:numId w:val="1"/>
        </w:num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Despite some successful outcomes, there was little evidence of routine evaluation at a strategic level of the quality and effectiveness of multi-agency work.</w:t>
      </w:r>
    </w:p>
    <w:p w14:paraId="5CB4D869" w14:textId="77777777" w:rsidR="006962B6" w:rsidRDefault="006962B6" w:rsidP="006962B6">
      <w:pPr>
        <w:pStyle w:val="ListParagraph"/>
        <w:spacing w:after="0" w:line="240" w:lineRule="auto"/>
        <w:rPr>
          <w:rFonts w:ascii="Arial" w:eastAsia="Times New Roman" w:hAnsi="Arial" w:cs="Arial"/>
          <w:color w:val="5A5B5B"/>
          <w:sz w:val="24"/>
          <w:szCs w:val="24"/>
          <w:lang w:eastAsia="en-GB"/>
        </w:rPr>
      </w:pPr>
    </w:p>
    <w:p w14:paraId="20DF08E4" w14:textId="77777777" w:rsidR="00BD37B2" w:rsidRDefault="00BD37B2"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Further support for early recognition and intervention came from the Chief Inspector of Probation, Liz </w:t>
      </w:r>
      <w:proofErr w:type="spellStart"/>
      <w:r w:rsidRPr="006962B6">
        <w:rPr>
          <w:rFonts w:ascii="Arial" w:eastAsia="Times New Roman" w:hAnsi="Arial" w:cs="Arial"/>
          <w:color w:val="5A5B5B"/>
          <w:sz w:val="24"/>
          <w:szCs w:val="24"/>
          <w:lang w:eastAsia="en-GB"/>
        </w:rPr>
        <w:t>Calderbank</w:t>
      </w:r>
      <w:proofErr w:type="spellEnd"/>
      <w:r w:rsidRPr="006962B6">
        <w:rPr>
          <w:rFonts w:ascii="Arial" w:eastAsia="Times New Roman" w:hAnsi="Arial" w:cs="Arial"/>
          <w:color w:val="5A5B5B"/>
          <w:sz w:val="24"/>
          <w:szCs w:val="24"/>
          <w:lang w:eastAsia="en-GB"/>
        </w:rPr>
        <w:t>, who reported on behalf of all inspectorates:</w:t>
      </w:r>
    </w:p>
    <w:p w14:paraId="2764D704" w14:textId="77777777" w:rsidR="006962B6" w:rsidRPr="006962B6" w:rsidRDefault="006962B6" w:rsidP="006962B6">
      <w:pPr>
        <w:shd w:val="clear" w:color="auto" w:fill="FFFFFF"/>
        <w:spacing w:after="0" w:line="240" w:lineRule="auto"/>
        <w:jc w:val="both"/>
        <w:rPr>
          <w:rFonts w:ascii="Arial" w:eastAsia="Times New Roman" w:hAnsi="Arial" w:cs="Arial"/>
          <w:color w:val="5A5B5B"/>
          <w:sz w:val="24"/>
          <w:szCs w:val="24"/>
          <w:lang w:eastAsia="en-GB"/>
        </w:rPr>
      </w:pPr>
    </w:p>
    <w:p w14:paraId="6299732B" w14:textId="77777777" w:rsidR="00BD37B2" w:rsidRDefault="00BD37B2"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“The behaviour of this small but significant group of children and young people can be extremely damaging, often involving other children as victims. Yet the evidence from our inspection is that these children and young people do respond to intervention from youth offending teams and can be prevented from reoffending before developing entrenched patterns of behaviour.”</w:t>
      </w:r>
    </w:p>
    <w:p w14:paraId="33E413BC" w14:textId="77777777" w:rsidR="006962B6" w:rsidRPr="006962B6" w:rsidRDefault="006962B6" w:rsidP="006962B6">
      <w:pPr>
        <w:shd w:val="clear" w:color="auto" w:fill="FFFFFF"/>
        <w:spacing w:after="0" w:line="240" w:lineRule="auto"/>
        <w:jc w:val="both"/>
        <w:rPr>
          <w:rFonts w:ascii="Arial" w:eastAsia="Times New Roman" w:hAnsi="Arial" w:cs="Arial"/>
          <w:color w:val="5A5B5B"/>
          <w:sz w:val="24"/>
          <w:szCs w:val="24"/>
          <w:lang w:eastAsia="en-GB"/>
        </w:rPr>
      </w:pPr>
    </w:p>
    <w:p w14:paraId="4FD5E857" w14:textId="77777777" w:rsidR="00BD37B2" w:rsidRDefault="00BD37B2"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“We were therefore very concerned to find that a sizable number of these children had been referred on previous occasions to children’s </w:t>
      </w:r>
      <w:proofErr w:type="gramStart"/>
      <w:r w:rsidRPr="006962B6">
        <w:rPr>
          <w:rFonts w:ascii="Arial" w:eastAsia="Times New Roman" w:hAnsi="Arial" w:cs="Arial"/>
          <w:color w:val="5A5B5B"/>
          <w:sz w:val="24"/>
          <w:szCs w:val="24"/>
          <w:lang w:eastAsia="en-GB"/>
        </w:rPr>
        <w:t>services</w:t>
      </w:r>
      <w:proofErr w:type="gramEnd"/>
      <w:r w:rsidRPr="006962B6">
        <w:rPr>
          <w:rFonts w:ascii="Arial" w:eastAsia="Times New Roman" w:hAnsi="Arial" w:cs="Arial"/>
          <w:color w:val="5A5B5B"/>
          <w:sz w:val="24"/>
          <w:szCs w:val="24"/>
          <w:lang w:eastAsia="en-GB"/>
        </w:rPr>
        <w:t xml:space="preserve"> but the significance of their sexual behaviour was not recognised or dismissed. This, to us represented a lost opportunity, both for the children themselves and their potential victims.”</w:t>
      </w:r>
    </w:p>
    <w:p w14:paraId="5C3F31AA" w14:textId="77777777" w:rsidR="006962B6" w:rsidRPr="006962B6" w:rsidRDefault="006962B6" w:rsidP="006962B6">
      <w:pPr>
        <w:shd w:val="clear" w:color="auto" w:fill="FFFFFF"/>
        <w:spacing w:after="0" w:line="240" w:lineRule="auto"/>
        <w:jc w:val="both"/>
        <w:rPr>
          <w:rFonts w:ascii="Arial" w:eastAsia="Times New Roman" w:hAnsi="Arial" w:cs="Arial"/>
          <w:color w:val="5A5B5B"/>
          <w:sz w:val="24"/>
          <w:szCs w:val="24"/>
          <w:lang w:eastAsia="en-GB"/>
        </w:rPr>
      </w:pPr>
    </w:p>
    <w:p w14:paraId="7F611B59" w14:textId="77777777" w:rsidR="00BD37B2" w:rsidRPr="006962B6" w:rsidRDefault="00BD37B2"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The link between on-line behaviour and harmful sexual behaviour may also be a cause for concern. Technology-assisted harmful sexual behaviour (TA-HSB) can range from developmentally inappropriate use of pornography (and exposing other children to this), through grooming and sexual harassment. On-line behaviour may be a trigger for sexual abuse and the long-term effect of exposure to pornography can affect the </w:t>
      </w:r>
      <w:r w:rsidRPr="006962B6">
        <w:rPr>
          <w:rFonts w:ascii="Arial" w:eastAsia="Times New Roman" w:hAnsi="Arial" w:cs="Arial"/>
          <w:color w:val="5A5B5B"/>
          <w:sz w:val="24"/>
          <w:szCs w:val="24"/>
          <w:lang w:eastAsia="en-GB"/>
        </w:rPr>
        <w:lastRenderedPageBreak/>
        <w:t xml:space="preserve">ability to build healthy sexual relationships (see </w:t>
      </w:r>
      <w:hyperlink r:id="rId9" w:tgtFrame="_blank" w:history="1">
        <w:r w:rsidRPr="006962B6">
          <w:rPr>
            <w:rFonts w:ascii="Arial" w:eastAsia="Times New Roman" w:hAnsi="Arial" w:cs="Arial"/>
            <w:b/>
            <w:bCs/>
            <w:color w:val="017BBA"/>
            <w:sz w:val="24"/>
            <w:szCs w:val="24"/>
            <w:lang w:eastAsia="en-GB"/>
          </w:rPr>
          <w:t>NSPCC Research and Resources</w:t>
        </w:r>
      </w:hyperlink>
      <w:r w:rsidRPr="006962B6">
        <w:rPr>
          <w:rFonts w:ascii="Arial" w:eastAsia="Times New Roman" w:hAnsi="Arial" w:cs="Arial"/>
          <w:color w:val="5A5B5B"/>
          <w:sz w:val="24"/>
          <w:szCs w:val="24"/>
          <w:lang w:eastAsia="en-GB"/>
        </w:rPr>
        <w:t xml:space="preserve"> for further information.</w:t>
      </w:r>
    </w:p>
    <w:p w14:paraId="4B63284E" w14:textId="77777777" w:rsidR="00100FA5" w:rsidRPr="006962B6" w:rsidRDefault="006962B6" w:rsidP="006962B6">
      <w:pPr>
        <w:shd w:val="clear" w:color="auto" w:fill="FFFFFF"/>
        <w:spacing w:before="100" w:beforeAutospacing="1" w:after="100" w:afterAutospacing="1" w:line="336" w:lineRule="auto"/>
        <w:jc w:val="both"/>
        <w:outlineLvl w:val="1"/>
        <w:rPr>
          <w:rFonts w:ascii="Arial" w:eastAsia="Times New Roman" w:hAnsi="Arial" w:cs="Arial"/>
          <w:b/>
          <w:bCs/>
          <w:color w:val="50575B"/>
          <w:sz w:val="24"/>
          <w:szCs w:val="24"/>
          <w:lang w:eastAsia="en-GB"/>
        </w:rPr>
      </w:pPr>
      <w:r>
        <w:rPr>
          <w:rFonts w:ascii="Arial" w:eastAsia="Times New Roman" w:hAnsi="Arial" w:cs="Arial"/>
          <w:b/>
          <w:bCs/>
          <w:color w:val="50575B"/>
          <w:sz w:val="24"/>
          <w:szCs w:val="24"/>
          <w:lang w:eastAsia="en-GB"/>
        </w:rPr>
        <w:t>2</w:t>
      </w:r>
      <w:r w:rsidR="00100FA5" w:rsidRPr="006962B6">
        <w:rPr>
          <w:rFonts w:ascii="Arial" w:eastAsia="Times New Roman" w:hAnsi="Arial" w:cs="Arial"/>
          <w:b/>
          <w:bCs/>
          <w:color w:val="50575B"/>
          <w:sz w:val="24"/>
          <w:szCs w:val="24"/>
          <w:lang w:eastAsia="en-GB"/>
        </w:rPr>
        <w:t>.</w:t>
      </w:r>
      <w:bookmarkStart w:id="0" w:name="chi"/>
      <w:bookmarkEnd w:id="0"/>
      <w:r w:rsidR="00100FA5" w:rsidRPr="006962B6">
        <w:rPr>
          <w:rFonts w:ascii="Arial" w:eastAsia="Times New Roman" w:hAnsi="Arial" w:cs="Arial"/>
          <w:b/>
          <w:bCs/>
          <w:color w:val="50575B"/>
          <w:sz w:val="24"/>
          <w:szCs w:val="24"/>
          <w:lang w:eastAsia="en-GB"/>
        </w:rPr>
        <w:t xml:space="preserve"> </w:t>
      </w:r>
      <w:r>
        <w:rPr>
          <w:rFonts w:ascii="Arial" w:eastAsia="Times New Roman" w:hAnsi="Arial" w:cs="Arial"/>
          <w:b/>
          <w:bCs/>
          <w:color w:val="50575B"/>
          <w:sz w:val="24"/>
          <w:szCs w:val="24"/>
          <w:lang w:eastAsia="en-GB"/>
        </w:rPr>
        <w:t xml:space="preserve"> </w:t>
      </w:r>
      <w:r w:rsidR="00100FA5" w:rsidRPr="006962B6">
        <w:rPr>
          <w:rFonts w:ascii="Arial" w:eastAsia="Times New Roman" w:hAnsi="Arial" w:cs="Arial"/>
          <w:b/>
          <w:bCs/>
          <w:color w:val="50575B"/>
          <w:sz w:val="24"/>
          <w:szCs w:val="24"/>
          <w:lang w:eastAsia="en-GB"/>
        </w:rPr>
        <w:t>Adolescents and children who Display Harmful Sexual Behaviour</w:t>
      </w:r>
    </w:p>
    <w:p w14:paraId="360E25A8" w14:textId="77777777" w:rsidR="006962B6" w:rsidRDefault="00100FA5"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Whenever a child or young person has been sexually harmed by another child or young person, all agencies must be aware of their responsibilities to both the victim and the young person who has carried out the sexually harmful behaviour. </w:t>
      </w:r>
    </w:p>
    <w:p w14:paraId="57C77865" w14:textId="77777777" w:rsidR="006962B6" w:rsidRDefault="006962B6" w:rsidP="006962B6">
      <w:pPr>
        <w:shd w:val="clear" w:color="auto" w:fill="FFFFFF"/>
        <w:spacing w:after="0" w:line="240" w:lineRule="auto"/>
        <w:jc w:val="both"/>
        <w:rPr>
          <w:rFonts w:ascii="Arial" w:eastAsia="Times New Roman" w:hAnsi="Arial" w:cs="Arial"/>
          <w:color w:val="5A5B5B"/>
          <w:sz w:val="24"/>
          <w:szCs w:val="24"/>
          <w:lang w:eastAsia="en-GB"/>
        </w:rPr>
      </w:pPr>
    </w:p>
    <w:p w14:paraId="1A6296C8" w14:textId="77777777" w:rsidR="006962B6" w:rsidRDefault="00100FA5"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The multi-agency management of both cases must reflect this. Children and young people who harm others may pose a risk to children other than their present victim and the safety of their victim and other children is of paramount importance. </w:t>
      </w:r>
      <w:proofErr w:type="gramStart"/>
      <w:r w:rsidRPr="006962B6">
        <w:rPr>
          <w:rFonts w:ascii="Arial" w:eastAsia="Times New Roman" w:hAnsi="Arial" w:cs="Arial"/>
          <w:color w:val="5A5B5B"/>
          <w:sz w:val="24"/>
          <w:szCs w:val="24"/>
          <w:lang w:eastAsia="en-GB"/>
        </w:rPr>
        <w:t>However</w:t>
      </w:r>
      <w:proofErr w:type="gramEnd"/>
      <w:r w:rsidRPr="006962B6">
        <w:rPr>
          <w:rFonts w:ascii="Arial" w:eastAsia="Times New Roman" w:hAnsi="Arial" w:cs="Arial"/>
          <w:color w:val="5A5B5B"/>
          <w:sz w:val="24"/>
          <w:szCs w:val="24"/>
          <w:lang w:eastAsia="en-GB"/>
        </w:rPr>
        <w:t xml:space="preserve"> children and young people who behave in this way are likely to have considerable levels of unmet need themselves. </w:t>
      </w:r>
    </w:p>
    <w:p w14:paraId="533F3333" w14:textId="77777777" w:rsidR="006962B6" w:rsidRDefault="006962B6" w:rsidP="006962B6">
      <w:pPr>
        <w:shd w:val="clear" w:color="auto" w:fill="FFFFFF"/>
        <w:spacing w:after="0" w:line="240" w:lineRule="auto"/>
        <w:jc w:val="both"/>
        <w:rPr>
          <w:rFonts w:ascii="Arial" w:eastAsia="Times New Roman" w:hAnsi="Arial" w:cs="Arial"/>
          <w:color w:val="5A5B5B"/>
          <w:sz w:val="24"/>
          <w:szCs w:val="24"/>
          <w:lang w:eastAsia="en-GB"/>
        </w:rPr>
      </w:pPr>
    </w:p>
    <w:p w14:paraId="3A9BFC60" w14:textId="77777777" w:rsidR="00100FA5" w:rsidRDefault="00100FA5"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Evidence suggests that children and young people who harm others may have suffered considerable disruption in their lives, been exposed to violence within the family, may have witnessed or been subject to </w:t>
      </w:r>
      <w:hyperlink r:id="rId10" w:tgtFrame="_blank" w:history="1">
        <w:r w:rsidRPr="006962B6">
          <w:rPr>
            <w:rFonts w:ascii="Arial" w:eastAsia="Times New Roman" w:hAnsi="Arial" w:cs="Arial"/>
            <w:b/>
            <w:bCs/>
            <w:color w:val="017BBA"/>
            <w:sz w:val="24"/>
            <w:szCs w:val="24"/>
            <w:lang w:eastAsia="en-GB"/>
          </w:rPr>
          <w:t>Physical Abuse</w:t>
        </w:r>
      </w:hyperlink>
      <w:r w:rsidRPr="006962B6">
        <w:rPr>
          <w:rFonts w:ascii="Arial" w:eastAsia="Times New Roman" w:hAnsi="Arial" w:cs="Arial"/>
          <w:color w:val="5A5B5B"/>
          <w:sz w:val="24"/>
          <w:szCs w:val="24"/>
          <w:lang w:eastAsia="en-GB"/>
        </w:rPr>
        <w:t xml:space="preserve"> or </w:t>
      </w:r>
      <w:hyperlink r:id="rId11" w:tgtFrame="_blank" w:history="1">
        <w:r w:rsidRPr="006962B6">
          <w:rPr>
            <w:rFonts w:ascii="Arial" w:eastAsia="Times New Roman" w:hAnsi="Arial" w:cs="Arial"/>
            <w:b/>
            <w:bCs/>
            <w:color w:val="017BBA"/>
            <w:sz w:val="24"/>
            <w:szCs w:val="24"/>
            <w:lang w:eastAsia="en-GB"/>
          </w:rPr>
          <w:t>Sexual Abuse</w:t>
        </w:r>
      </w:hyperlink>
      <w:r w:rsidRPr="006962B6">
        <w:rPr>
          <w:rFonts w:ascii="Arial" w:eastAsia="Times New Roman" w:hAnsi="Arial" w:cs="Arial"/>
          <w:color w:val="5A5B5B"/>
          <w:sz w:val="24"/>
          <w:szCs w:val="24"/>
          <w:lang w:eastAsia="en-GB"/>
        </w:rPr>
        <w:t xml:space="preserve">, have problems in their educational development and may have committed other offences. Such children are likely to be children in need; some will have suffered </w:t>
      </w:r>
      <w:hyperlink r:id="rId12" w:tgtFrame="_blank" w:history="1">
        <w:r w:rsidRPr="006962B6">
          <w:rPr>
            <w:rFonts w:ascii="Arial" w:eastAsia="Times New Roman" w:hAnsi="Arial" w:cs="Arial"/>
            <w:b/>
            <w:bCs/>
            <w:color w:val="017BBA"/>
            <w:sz w:val="24"/>
            <w:szCs w:val="24"/>
            <w:lang w:eastAsia="en-GB"/>
          </w:rPr>
          <w:t>Significant Harm</w:t>
        </w:r>
      </w:hyperlink>
      <w:r w:rsidRPr="006962B6">
        <w:rPr>
          <w:rFonts w:ascii="Arial" w:eastAsia="Times New Roman" w:hAnsi="Arial" w:cs="Arial"/>
          <w:color w:val="5A5B5B"/>
          <w:sz w:val="24"/>
          <w:szCs w:val="24"/>
          <w:lang w:eastAsia="en-GB"/>
        </w:rPr>
        <w:t xml:space="preserve"> and may be in need of protection themselves. Children who harm others should be held responsible for their harmful behaviour while being identified and responded to in a way which meets their needs as well as protecting others.</w:t>
      </w:r>
    </w:p>
    <w:p w14:paraId="0D2DC858" w14:textId="77777777" w:rsidR="006962B6" w:rsidRPr="006962B6" w:rsidRDefault="006962B6" w:rsidP="006962B6">
      <w:pPr>
        <w:shd w:val="clear" w:color="auto" w:fill="FFFFFF"/>
        <w:spacing w:after="0" w:line="240" w:lineRule="auto"/>
        <w:jc w:val="both"/>
        <w:rPr>
          <w:rFonts w:ascii="Arial" w:eastAsia="Times New Roman" w:hAnsi="Arial" w:cs="Arial"/>
          <w:color w:val="5A5B5B"/>
          <w:sz w:val="24"/>
          <w:szCs w:val="24"/>
          <w:lang w:eastAsia="en-GB"/>
        </w:rPr>
      </w:pPr>
    </w:p>
    <w:p w14:paraId="306B86CD" w14:textId="77777777" w:rsidR="00100FA5" w:rsidRDefault="00100FA5"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Children and young people who display harmful sexual behaviour are often developing their own sexuality and understanding of relationships. Research clearly indicates that good assessment and early intervention, which addresses risk and builds resilience for the child or young person, produce the best outcomes for this kind of worrying behaviour.</w:t>
      </w:r>
    </w:p>
    <w:p w14:paraId="281F2E1B" w14:textId="77777777" w:rsidR="006962B6" w:rsidRPr="006962B6" w:rsidRDefault="006962B6" w:rsidP="006962B6">
      <w:pPr>
        <w:shd w:val="clear" w:color="auto" w:fill="FFFFFF"/>
        <w:spacing w:after="0" w:line="240" w:lineRule="auto"/>
        <w:jc w:val="both"/>
        <w:rPr>
          <w:rFonts w:ascii="Arial" w:eastAsia="Times New Roman" w:hAnsi="Arial" w:cs="Arial"/>
          <w:color w:val="5A5B5B"/>
          <w:sz w:val="24"/>
          <w:szCs w:val="24"/>
          <w:lang w:eastAsia="en-GB"/>
        </w:rPr>
      </w:pPr>
    </w:p>
    <w:p w14:paraId="4F388E29" w14:textId="77777777" w:rsidR="00100FA5" w:rsidRPr="006962B6" w:rsidRDefault="00100FA5" w:rsidP="006962B6">
      <w:pPr>
        <w:pStyle w:val="ListParagraph"/>
        <w:numPr>
          <w:ilvl w:val="0"/>
          <w:numId w:val="4"/>
        </w:numPr>
        <w:shd w:val="clear" w:color="auto" w:fill="FFFFFF"/>
        <w:spacing w:after="0" w:line="240" w:lineRule="auto"/>
        <w:ind w:left="426" w:hanging="426"/>
        <w:jc w:val="both"/>
        <w:outlineLvl w:val="1"/>
        <w:rPr>
          <w:rFonts w:ascii="Arial" w:eastAsia="Times New Roman" w:hAnsi="Arial" w:cs="Arial"/>
          <w:b/>
          <w:bCs/>
          <w:color w:val="50575B"/>
          <w:sz w:val="24"/>
          <w:szCs w:val="24"/>
          <w:lang w:eastAsia="en-GB"/>
        </w:rPr>
      </w:pPr>
      <w:r w:rsidRPr="006962B6">
        <w:rPr>
          <w:rFonts w:ascii="Arial" w:eastAsia="Times New Roman" w:hAnsi="Arial" w:cs="Arial"/>
          <w:b/>
          <w:bCs/>
          <w:color w:val="50575B"/>
          <w:sz w:val="24"/>
          <w:szCs w:val="24"/>
          <w:lang w:eastAsia="en-GB"/>
        </w:rPr>
        <w:t>The AIM Project</w:t>
      </w:r>
    </w:p>
    <w:p w14:paraId="47B29841" w14:textId="77777777" w:rsidR="006962B6" w:rsidRPr="006962B6" w:rsidRDefault="006962B6" w:rsidP="006962B6">
      <w:pPr>
        <w:pStyle w:val="ListParagraph"/>
        <w:shd w:val="clear" w:color="auto" w:fill="FFFFFF"/>
        <w:spacing w:after="0" w:line="240" w:lineRule="auto"/>
        <w:jc w:val="both"/>
        <w:outlineLvl w:val="1"/>
        <w:rPr>
          <w:rFonts w:ascii="Arial" w:eastAsia="Times New Roman" w:hAnsi="Arial" w:cs="Arial"/>
          <w:b/>
          <w:bCs/>
          <w:color w:val="50575B"/>
          <w:sz w:val="24"/>
          <w:szCs w:val="24"/>
          <w:lang w:eastAsia="en-GB"/>
        </w:rPr>
      </w:pPr>
    </w:p>
    <w:p w14:paraId="2987DBE4" w14:textId="77777777" w:rsidR="00100FA5" w:rsidRDefault="00100FA5"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The AIM (</w:t>
      </w:r>
      <w:r w:rsidRPr="006962B6">
        <w:rPr>
          <w:rFonts w:ascii="Arial" w:eastAsia="Times New Roman" w:hAnsi="Arial" w:cs="Arial"/>
          <w:b/>
          <w:bCs/>
          <w:color w:val="666666"/>
          <w:sz w:val="24"/>
          <w:szCs w:val="24"/>
          <w:lang w:eastAsia="en-GB"/>
        </w:rPr>
        <w:t>A</w:t>
      </w:r>
      <w:r w:rsidRPr="006962B6">
        <w:rPr>
          <w:rFonts w:ascii="Arial" w:eastAsia="Times New Roman" w:hAnsi="Arial" w:cs="Arial"/>
          <w:color w:val="5A5B5B"/>
          <w:sz w:val="24"/>
          <w:szCs w:val="24"/>
          <w:lang w:eastAsia="en-GB"/>
        </w:rPr>
        <w:t xml:space="preserve">ssessment </w:t>
      </w:r>
      <w:r w:rsidRPr="006962B6">
        <w:rPr>
          <w:rFonts w:ascii="Arial" w:eastAsia="Times New Roman" w:hAnsi="Arial" w:cs="Arial"/>
          <w:b/>
          <w:bCs/>
          <w:color w:val="666666"/>
          <w:sz w:val="24"/>
          <w:szCs w:val="24"/>
          <w:lang w:eastAsia="en-GB"/>
        </w:rPr>
        <w:t>I</w:t>
      </w:r>
      <w:r w:rsidRPr="006962B6">
        <w:rPr>
          <w:rFonts w:ascii="Arial" w:eastAsia="Times New Roman" w:hAnsi="Arial" w:cs="Arial"/>
          <w:color w:val="5A5B5B"/>
          <w:sz w:val="24"/>
          <w:szCs w:val="24"/>
          <w:lang w:eastAsia="en-GB"/>
        </w:rPr>
        <w:t xml:space="preserve">ntervention </w:t>
      </w:r>
      <w:r w:rsidRPr="006962B6">
        <w:rPr>
          <w:rFonts w:ascii="Arial" w:eastAsia="Times New Roman" w:hAnsi="Arial" w:cs="Arial"/>
          <w:b/>
          <w:bCs/>
          <w:color w:val="666666"/>
          <w:sz w:val="24"/>
          <w:szCs w:val="24"/>
          <w:lang w:eastAsia="en-GB"/>
        </w:rPr>
        <w:t>M</w:t>
      </w:r>
      <w:r w:rsidRPr="006962B6">
        <w:rPr>
          <w:rFonts w:ascii="Arial" w:eastAsia="Times New Roman" w:hAnsi="Arial" w:cs="Arial"/>
          <w:color w:val="5A5B5B"/>
          <w:sz w:val="24"/>
          <w:szCs w:val="24"/>
          <w:lang w:eastAsia="en-GB"/>
        </w:rPr>
        <w:t xml:space="preserve">oving on) project developed an assessment framework model in Manchester in 2000. The assessment framework model covered the domains of the Department of Health Assessment Framework, plus ASSET, ASSET Risk of Serious Harm and an additional dimension of assessing sexualised behaviour. It was based on the principle that the welfare of children is paramount and the primary objective of undertaking work with young people who abuse others is to prevent future victims. The Framework was revised into AIM 3 in 2019, based on further research and evidence in respect of young people aged 12-18 years. </w:t>
      </w:r>
    </w:p>
    <w:p w14:paraId="5C0B9158" w14:textId="77777777" w:rsidR="006962B6" w:rsidRPr="006962B6" w:rsidRDefault="006962B6" w:rsidP="006962B6">
      <w:pPr>
        <w:shd w:val="clear" w:color="auto" w:fill="FFFFFF"/>
        <w:spacing w:after="0" w:line="240" w:lineRule="auto"/>
        <w:jc w:val="both"/>
        <w:rPr>
          <w:rFonts w:ascii="Arial" w:eastAsia="Times New Roman" w:hAnsi="Arial" w:cs="Arial"/>
          <w:color w:val="5A5B5B"/>
          <w:sz w:val="24"/>
          <w:szCs w:val="24"/>
          <w:lang w:eastAsia="en-GB"/>
        </w:rPr>
      </w:pPr>
    </w:p>
    <w:p w14:paraId="42D3BCCD" w14:textId="77777777" w:rsidR="00100FA5" w:rsidRDefault="00100FA5"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The AIM project exists to oversee the development of the assessment framework and provides training and support to promote its use alongside an assessment model for children under 12 years and other models for the identification and management across key agencies of children and young people who harm sexually.</w:t>
      </w:r>
    </w:p>
    <w:p w14:paraId="4FFEEA86" w14:textId="77777777" w:rsidR="006962B6" w:rsidRPr="006962B6" w:rsidRDefault="006962B6" w:rsidP="006962B6">
      <w:pPr>
        <w:shd w:val="clear" w:color="auto" w:fill="FFFFFF"/>
        <w:spacing w:after="0" w:line="240" w:lineRule="auto"/>
        <w:jc w:val="both"/>
        <w:rPr>
          <w:rFonts w:ascii="Arial" w:eastAsia="Times New Roman" w:hAnsi="Arial" w:cs="Arial"/>
          <w:color w:val="5A5B5B"/>
          <w:sz w:val="24"/>
          <w:szCs w:val="24"/>
          <w:lang w:eastAsia="en-GB"/>
        </w:rPr>
      </w:pPr>
    </w:p>
    <w:p w14:paraId="0177FFA9" w14:textId="77777777" w:rsidR="00100FA5" w:rsidRDefault="00100FA5"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Thurrock Children Services has taken the view that the AIM 3 model of assessment meets the requirements for this group of children and young people.  Thurrock seek to support use of the model across each of the LSCP areas to ensure consistency of service delivery.</w:t>
      </w:r>
    </w:p>
    <w:p w14:paraId="739795DD" w14:textId="77777777" w:rsidR="006962B6" w:rsidRPr="006962B6" w:rsidRDefault="006962B6" w:rsidP="006962B6">
      <w:pPr>
        <w:shd w:val="clear" w:color="auto" w:fill="FFFFFF"/>
        <w:spacing w:after="0" w:line="240" w:lineRule="auto"/>
        <w:jc w:val="both"/>
        <w:rPr>
          <w:rFonts w:ascii="Arial" w:eastAsia="Times New Roman" w:hAnsi="Arial" w:cs="Arial"/>
          <w:color w:val="5A5B5B"/>
          <w:sz w:val="24"/>
          <w:szCs w:val="24"/>
          <w:lang w:eastAsia="en-GB"/>
        </w:rPr>
      </w:pPr>
    </w:p>
    <w:p w14:paraId="195D2438" w14:textId="77777777" w:rsidR="007B0C77" w:rsidRPr="006962B6" w:rsidRDefault="007B0C77" w:rsidP="006962B6">
      <w:pPr>
        <w:pStyle w:val="ListParagraph"/>
        <w:numPr>
          <w:ilvl w:val="0"/>
          <w:numId w:val="4"/>
        </w:numPr>
        <w:shd w:val="clear" w:color="auto" w:fill="FFFFFF"/>
        <w:spacing w:after="0" w:line="240" w:lineRule="auto"/>
        <w:ind w:left="426" w:hanging="426"/>
        <w:jc w:val="both"/>
        <w:outlineLvl w:val="1"/>
        <w:rPr>
          <w:rFonts w:ascii="Arial" w:eastAsia="Times New Roman" w:hAnsi="Arial" w:cs="Arial"/>
          <w:b/>
          <w:bCs/>
          <w:color w:val="50575B"/>
          <w:sz w:val="24"/>
          <w:szCs w:val="24"/>
          <w:lang w:eastAsia="en-GB"/>
        </w:rPr>
      </w:pPr>
      <w:r w:rsidRPr="006962B6">
        <w:rPr>
          <w:rFonts w:ascii="Arial" w:eastAsia="Times New Roman" w:hAnsi="Arial" w:cs="Arial"/>
          <w:b/>
          <w:bCs/>
          <w:color w:val="50575B"/>
          <w:sz w:val="24"/>
          <w:szCs w:val="24"/>
          <w:lang w:eastAsia="en-GB"/>
        </w:rPr>
        <w:t>Principles of Working with Adolescents and children who have displayed Problematic Sexual Behaviour</w:t>
      </w:r>
    </w:p>
    <w:p w14:paraId="25432AC6" w14:textId="77777777" w:rsidR="006962B6" w:rsidRPr="006962B6" w:rsidRDefault="006962B6" w:rsidP="006962B6">
      <w:pPr>
        <w:pStyle w:val="ListParagraph"/>
        <w:shd w:val="clear" w:color="auto" w:fill="FFFFFF"/>
        <w:spacing w:after="0" w:line="240" w:lineRule="auto"/>
        <w:jc w:val="both"/>
        <w:outlineLvl w:val="1"/>
        <w:rPr>
          <w:rFonts w:ascii="Arial" w:eastAsia="Times New Roman" w:hAnsi="Arial" w:cs="Arial"/>
          <w:b/>
          <w:bCs/>
          <w:color w:val="50575B"/>
          <w:sz w:val="24"/>
          <w:szCs w:val="24"/>
          <w:lang w:eastAsia="en-GB"/>
        </w:rPr>
      </w:pPr>
    </w:p>
    <w:p w14:paraId="1CCCAAC6" w14:textId="77777777" w:rsidR="007B0C77" w:rsidRDefault="007B0C77" w:rsidP="006962B6">
      <w:pPr>
        <w:numPr>
          <w:ilvl w:val="0"/>
          <w:numId w:val="2"/>
        </w:num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Work with children and young people who harm others must recognise that such children are likely to have considerable needs themselves, and also that they may pose a significant risk of harm to </w:t>
      </w:r>
      <w:r w:rsidR="006962B6">
        <w:rPr>
          <w:rFonts w:ascii="Arial" w:eastAsia="Times New Roman" w:hAnsi="Arial" w:cs="Arial"/>
          <w:color w:val="5A5B5B"/>
          <w:sz w:val="24"/>
          <w:szCs w:val="24"/>
          <w:lang w:eastAsia="en-GB"/>
        </w:rPr>
        <w:t>other children and young people.</w:t>
      </w:r>
    </w:p>
    <w:p w14:paraId="72C03449" w14:textId="77777777" w:rsidR="006962B6" w:rsidRPr="006962B6" w:rsidRDefault="006962B6" w:rsidP="006962B6">
      <w:pPr>
        <w:shd w:val="clear" w:color="auto" w:fill="FFFFFF"/>
        <w:spacing w:after="0" w:line="240" w:lineRule="auto"/>
        <w:ind w:left="720"/>
        <w:jc w:val="both"/>
        <w:rPr>
          <w:rFonts w:ascii="Arial" w:eastAsia="Times New Roman" w:hAnsi="Arial" w:cs="Arial"/>
          <w:color w:val="5A5B5B"/>
          <w:sz w:val="24"/>
          <w:szCs w:val="24"/>
          <w:lang w:eastAsia="en-GB"/>
        </w:rPr>
      </w:pPr>
    </w:p>
    <w:p w14:paraId="52A2C3DD" w14:textId="77777777" w:rsidR="007B0C77" w:rsidRDefault="007B0C77" w:rsidP="006962B6">
      <w:pPr>
        <w:numPr>
          <w:ilvl w:val="0"/>
          <w:numId w:val="2"/>
        </w:num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The needs of the children and young people who sexually harm should be considered separately </w:t>
      </w:r>
      <w:r w:rsidR="006962B6">
        <w:rPr>
          <w:rFonts w:ascii="Arial" w:eastAsia="Times New Roman" w:hAnsi="Arial" w:cs="Arial"/>
          <w:color w:val="5A5B5B"/>
          <w:sz w:val="24"/>
          <w:szCs w:val="24"/>
          <w:lang w:eastAsia="en-GB"/>
        </w:rPr>
        <w:t>from the needs of their victims.</w:t>
      </w:r>
    </w:p>
    <w:p w14:paraId="4940CC20" w14:textId="77777777" w:rsidR="006962B6" w:rsidRDefault="006962B6" w:rsidP="006962B6">
      <w:pPr>
        <w:pStyle w:val="ListParagraph"/>
        <w:spacing w:after="0" w:line="240" w:lineRule="auto"/>
        <w:rPr>
          <w:rFonts w:ascii="Arial" w:eastAsia="Times New Roman" w:hAnsi="Arial" w:cs="Arial"/>
          <w:color w:val="5A5B5B"/>
          <w:sz w:val="24"/>
          <w:szCs w:val="24"/>
          <w:lang w:eastAsia="en-GB"/>
        </w:rPr>
      </w:pPr>
    </w:p>
    <w:p w14:paraId="55E3D578" w14:textId="77777777" w:rsidR="007B0C77" w:rsidRDefault="007B0C77" w:rsidP="006962B6">
      <w:pPr>
        <w:numPr>
          <w:ilvl w:val="0"/>
          <w:numId w:val="2"/>
        </w:num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Evidence suggests that children and young people who abuse may have suffered considerable disruption in their lives, been exposed to violence within the family, may have witnessed or been subject to physical or Sexual Abuse, have problems in their educational development and may have committed other offences. Such children and young people are likely to be children in need, and some will in addition be suffering from, or at risk of, Significant Harm and may them</w:t>
      </w:r>
      <w:r w:rsidR="006962B6">
        <w:rPr>
          <w:rFonts w:ascii="Arial" w:eastAsia="Times New Roman" w:hAnsi="Arial" w:cs="Arial"/>
          <w:color w:val="5A5B5B"/>
          <w:sz w:val="24"/>
          <w:szCs w:val="24"/>
          <w:lang w:eastAsia="en-GB"/>
        </w:rPr>
        <w:t xml:space="preserve">selves </w:t>
      </w:r>
      <w:proofErr w:type="gramStart"/>
      <w:r w:rsidR="006962B6">
        <w:rPr>
          <w:rFonts w:ascii="Arial" w:eastAsia="Times New Roman" w:hAnsi="Arial" w:cs="Arial"/>
          <w:color w:val="5A5B5B"/>
          <w:sz w:val="24"/>
          <w:szCs w:val="24"/>
          <w:lang w:eastAsia="en-GB"/>
        </w:rPr>
        <w:t>be in need of</w:t>
      </w:r>
      <w:proofErr w:type="gramEnd"/>
      <w:r w:rsidR="006962B6">
        <w:rPr>
          <w:rFonts w:ascii="Arial" w:eastAsia="Times New Roman" w:hAnsi="Arial" w:cs="Arial"/>
          <w:color w:val="5A5B5B"/>
          <w:sz w:val="24"/>
          <w:szCs w:val="24"/>
          <w:lang w:eastAsia="en-GB"/>
        </w:rPr>
        <w:t xml:space="preserve"> protection.</w:t>
      </w:r>
    </w:p>
    <w:p w14:paraId="20814160" w14:textId="77777777" w:rsidR="006962B6" w:rsidRDefault="006962B6" w:rsidP="006962B6">
      <w:pPr>
        <w:pStyle w:val="ListParagraph"/>
        <w:spacing w:after="0" w:line="240" w:lineRule="auto"/>
        <w:rPr>
          <w:rFonts w:ascii="Arial" w:eastAsia="Times New Roman" w:hAnsi="Arial" w:cs="Arial"/>
          <w:color w:val="5A5B5B"/>
          <w:sz w:val="24"/>
          <w:szCs w:val="24"/>
          <w:lang w:eastAsia="en-GB"/>
        </w:rPr>
      </w:pPr>
    </w:p>
    <w:p w14:paraId="19B5BF1E" w14:textId="77777777" w:rsidR="007B0C77" w:rsidRDefault="007B0C77" w:rsidP="006962B6">
      <w:pPr>
        <w:numPr>
          <w:ilvl w:val="0"/>
          <w:numId w:val="2"/>
        </w:num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The reasons why young people sexually abuse </w:t>
      </w:r>
      <w:proofErr w:type="gramStart"/>
      <w:r w:rsidRPr="006962B6">
        <w:rPr>
          <w:rFonts w:ascii="Arial" w:eastAsia="Times New Roman" w:hAnsi="Arial" w:cs="Arial"/>
          <w:color w:val="5A5B5B"/>
          <w:sz w:val="24"/>
          <w:szCs w:val="24"/>
          <w:lang w:eastAsia="en-GB"/>
        </w:rPr>
        <w:t>are</w:t>
      </w:r>
      <w:proofErr w:type="gramEnd"/>
      <w:r w:rsidRPr="006962B6">
        <w:rPr>
          <w:rFonts w:ascii="Arial" w:eastAsia="Times New Roman" w:hAnsi="Arial" w:cs="Arial"/>
          <w:color w:val="5A5B5B"/>
          <w:sz w:val="24"/>
          <w:szCs w:val="24"/>
          <w:lang w:eastAsia="en-GB"/>
        </w:rPr>
        <w:t xml:space="preserve"> multi-faceted and to explore these further, a full risk assessment and an assessment of need must be carried out in every ca</w:t>
      </w:r>
      <w:r w:rsidR="006962B6">
        <w:rPr>
          <w:rFonts w:ascii="Arial" w:eastAsia="Times New Roman" w:hAnsi="Arial" w:cs="Arial"/>
          <w:color w:val="5A5B5B"/>
          <w:sz w:val="24"/>
          <w:szCs w:val="24"/>
          <w:lang w:eastAsia="en-GB"/>
        </w:rPr>
        <w:t>se.</w:t>
      </w:r>
    </w:p>
    <w:p w14:paraId="6C71A110" w14:textId="77777777" w:rsidR="006962B6" w:rsidRPr="006962B6" w:rsidRDefault="006962B6" w:rsidP="006962B6">
      <w:pPr>
        <w:shd w:val="clear" w:color="auto" w:fill="FFFFFF"/>
        <w:spacing w:after="0" w:line="240" w:lineRule="auto"/>
        <w:ind w:left="720"/>
        <w:jc w:val="both"/>
        <w:rPr>
          <w:rFonts w:ascii="Arial" w:eastAsia="Times New Roman" w:hAnsi="Arial" w:cs="Arial"/>
          <w:color w:val="5A5B5B"/>
          <w:sz w:val="24"/>
          <w:szCs w:val="24"/>
          <w:lang w:eastAsia="en-GB"/>
        </w:rPr>
      </w:pPr>
    </w:p>
    <w:p w14:paraId="5E3CC15F" w14:textId="77777777" w:rsidR="007B0C77" w:rsidRDefault="007B0C77" w:rsidP="006962B6">
      <w:pPr>
        <w:numPr>
          <w:ilvl w:val="0"/>
          <w:numId w:val="2"/>
        </w:num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Children and young people who sexually harm others should be held responsi</w:t>
      </w:r>
      <w:r w:rsidR="006962B6">
        <w:rPr>
          <w:rFonts w:ascii="Arial" w:eastAsia="Times New Roman" w:hAnsi="Arial" w:cs="Arial"/>
          <w:color w:val="5A5B5B"/>
          <w:sz w:val="24"/>
          <w:szCs w:val="24"/>
          <w:lang w:eastAsia="en-GB"/>
        </w:rPr>
        <w:t>ble for their abusive behaviour.</w:t>
      </w:r>
    </w:p>
    <w:p w14:paraId="5BD33C57" w14:textId="77777777" w:rsidR="006962B6" w:rsidRDefault="006962B6" w:rsidP="006962B6">
      <w:pPr>
        <w:pStyle w:val="ListParagraph"/>
        <w:spacing w:after="0" w:line="240" w:lineRule="auto"/>
        <w:rPr>
          <w:rFonts w:ascii="Arial" w:eastAsia="Times New Roman" w:hAnsi="Arial" w:cs="Arial"/>
          <w:color w:val="5A5B5B"/>
          <w:sz w:val="24"/>
          <w:szCs w:val="24"/>
          <w:lang w:eastAsia="en-GB"/>
        </w:rPr>
      </w:pPr>
    </w:p>
    <w:p w14:paraId="51BEC5D9" w14:textId="77777777" w:rsidR="007B0C77" w:rsidRDefault="007B0C77" w:rsidP="006962B6">
      <w:pPr>
        <w:numPr>
          <w:ilvl w:val="0"/>
          <w:numId w:val="2"/>
        </w:num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Early and effective, intervention with children and young people who sexually harm others may play an important part in protecting children, by preventing the continuation or </w:t>
      </w:r>
      <w:r w:rsidR="006962B6">
        <w:rPr>
          <w:rFonts w:ascii="Arial" w:eastAsia="Times New Roman" w:hAnsi="Arial" w:cs="Arial"/>
          <w:color w:val="5A5B5B"/>
          <w:sz w:val="24"/>
          <w:szCs w:val="24"/>
          <w:lang w:eastAsia="en-GB"/>
        </w:rPr>
        <w:t>escalation of abusive behaviour.</w:t>
      </w:r>
    </w:p>
    <w:p w14:paraId="1EB8F36B" w14:textId="77777777" w:rsidR="006962B6" w:rsidRPr="006962B6" w:rsidRDefault="006962B6" w:rsidP="006962B6">
      <w:pPr>
        <w:shd w:val="clear" w:color="auto" w:fill="FFFFFF"/>
        <w:spacing w:after="0" w:line="240" w:lineRule="auto"/>
        <w:ind w:left="720"/>
        <w:jc w:val="both"/>
        <w:rPr>
          <w:rFonts w:ascii="Arial" w:eastAsia="Times New Roman" w:hAnsi="Arial" w:cs="Arial"/>
          <w:color w:val="5A5B5B"/>
          <w:sz w:val="24"/>
          <w:szCs w:val="24"/>
          <w:lang w:eastAsia="en-GB"/>
        </w:rPr>
      </w:pPr>
    </w:p>
    <w:p w14:paraId="385F24B1" w14:textId="77777777" w:rsidR="007B0C77" w:rsidRDefault="007B0C77" w:rsidP="006962B6">
      <w:pPr>
        <w:numPr>
          <w:ilvl w:val="0"/>
          <w:numId w:val="2"/>
        </w:num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Young people who sexually harm others have a right to be consulted and involved in all matters and decisions that affect their lives. Their parents have a right to information, respect and participation in m</w:t>
      </w:r>
      <w:r w:rsidR="006962B6">
        <w:rPr>
          <w:rFonts w:ascii="Arial" w:eastAsia="Times New Roman" w:hAnsi="Arial" w:cs="Arial"/>
          <w:color w:val="5A5B5B"/>
          <w:sz w:val="24"/>
          <w:szCs w:val="24"/>
          <w:lang w:eastAsia="en-GB"/>
        </w:rPr>
        <w:t>atters that affect their family.</w:t>
      </w:r>
    </w:p>
    <w:p w14:paraId="350F6574" w14:textId="77777777" w:rsidR="006962B6" w:rsidRPr="006962B6" w:rsidRDefault="006962B6" w:rsidP="006962B6">
      <w:pPr>
        <w:shd w:val="clear" w:color="auto" w:fill="FFFFFF"/>
        <w:spacing w:after="0" w:line="240" w:lineRule="auto"/>
        <w:ind w:left="720"/>
        <w:jc w:val="both"/>
        <w:rPr>
          <w:rFonts w:ascii="Arial" w:eastAsia="Times New Roman" w:hAnsi="Arial" w:cs="Arial"/>
          <w:color w:val="5A5B5B"/>
          <w:sz w:val="24"/>
          <w:szCs w:val="24"/>
          <w:lang w:eastAsia="en-GB"/>
        </w:rPr>
      </w:pPr>
    </w:p>
    <w:p w14:paraId="2AB3F419" w14:textId="77777777" w:rsidR="007B0C77" w:rsidRPr="006962B6" w:rsidRDefault="007B0C77" w:rsidP="006962B6">
      <w:pPr>
        <w:numPr>
          <w:ilvl w:val="0"/>
          <w:numId w:val="2"/>
        </w:num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The complex nature of the problem requires a co-ordinated, multi-disciplinary approach, which addresses both child protection and criminal justice issues.</w:t>
      </w:r>
    </w:p>
    <w:p w14:paraId="54A83E92" w14:textId="77777777" w:rsidR="007B0C77" w:rsidRPr="006962B6" w:rsidRDefault="007B0C77" w:rsidP="006962B6">
      <w:pPr>
        <w:shd w:val="clear" w:color="auto" w:fill="FFFFFF"/>
        <w:spacing w:before="100" w:beforeAutospacing="1" w:after="100" w:afterAutospacing="1" w:line="336" w:lineRule="auto"/>
        <w:jc w:val="both"/>
        <w:outlineLvl w:val="1"/>
        <w:rPr>
          <w:rFonts w:ascii="Arial" w:eastAsia="Times New Roman" w:hAnsi="Arial" w:cs="Arial"/>
          <w:b/>
          <w:bCs/>
          <w:color w:val="50575B"/>
          <w:sz w:val="24"/>
          <w:szCs w:val="24"/>
          <w:lang w:eastAsia="en-GB"/>
        </w:rPr>
      </w:pPr>
      <w:r w:rsidRPr="006962B6">
        <w:rPr>
          <w:rFonts w:ascii="Arial" w:eastAsia="Times New Roman" w:hAnsi="Arial" w:cs="Arial"/>
          <w:b/>
          <w:bCs/>
          <w:color w:val="50575B"/>
          <w:sz w:val="24"/>
          <w:szCs w:val="24"/>
          <w:lang w:eastAsia="en-GB"/>
        </w:rPr>
        <w:t xml:space="preserve">5. NSPCC </w:t>
      </w:r>
      <w:r w:rsidR="00B73217" w:rsidRPr="006962B6">
        <w:rPr>
          <w:rFonts w:ascii="Arial" w:eastAsia="Times New Roman" w:hAnsi="Arial" w:cs="Arial"/>
          <w:b/>
          <w:bCs/>
          <w:color w:val="50575B"/>
          <w:sz w:val="24"/>
          <w:szCs w:val="24"/>
          <w:lang w:eastAsia="en-GB"/>
        </w:rPr>
        <w:t xml:space="preserve">2019 </w:t>
      </w:r>
      <w:r w:rsidRPr="006962B6">
        <w:rPr>
          <w:rFonts w:ascii="Arial" w:eastAsia="Times New Roman" w:hAnsi="Arial" w:cs="Arial"/>
          <w:b/>
          <w:bCs/>
          <w:color w:val="50575B"/>
          <w:sz w:val="24"/>
          <w:szCs w:val="24"/>
          <w:lang w:eastAsia="en-GB"/>
        </w:rPr>
        <w:t>Definition of problematic and abusive sexual behaviour.</w:t>
      </w:r>
    </w:p>
    <w:p w14:paraId="5575388F" w14:textId="77777777" w:rsidR="00B73217" w:rsidRPr="006962B6" w:rsidRDefault="007B0C77"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Problematic behaviours don’t include overt victimisation of others</w:t>
      </w:r>
      <w:r w:rsidR="00B73217" w:rsidRPr="006962B6">
        <w:rPr>
          <w:rFonts w:ascii="Arial" w:eastAsia="Times New Roman" w:hAnsi="Arial" w:cs="Arial"/>
          <w:color w:val="5A5B5B"/>
          <w:sz w:val="24"/>
          <w:szCs w:val="24"/>
          <w:lang w:eastAsia="en-GB"/>
        </w:rPr>
        <w:t>,</w:t>
      </w:r>
      <w:r w:rsidRPr="006962B6">
        <w:rPr>
          <w:rFonts w:ascii="Arial" w:eastAsia="Times New Roman" w:hAnsi="Arial" w:cs="Arial"/>
          <w:color w:val="5A5B5B"/>
          <w:sz w:val="24"/>
          <w:szCs w:val="24"/>
          <w:lang w:eastAsia="en-GB"/>
        </w:rPr>
        <w:t xml:space="preserve"> may be disruptive to the child’s development and can cause distress, rejection or increase victimisation of the child displaying the behaviour. They include behaviours involving sexual body parts that are developmentally inappropriate or potentially harmful to the child or others. They range </w:t>
      </w:r>
      <w:proofErr w:type="gramStart"/>
      <w:r w:rsidRPr="006962B6">
        <w:rPr>
          <w:rFonts w:ascii="Arial" w:eastAsia="Times New Roman" w:hAnsi="Arial" w:cs="Arial"/>
          <w:color w:val="5A5B5B"/>
          <w:sz w:val="24"/>
          <w:szCs w:val="24"/>
          <w:lang w:eastAsia="en-GB"/>
        </w:rPr>
        <w:t>from problematic self-stimulation and nonintrusive behaviours,</w:t>
      </w:r>
      <w:proofErr w:type="gramEnd"/>
      <w:r w:rsidRPr="006962B6">
        <w:rPr>
          <w:rFonts w:ascii="Arial" w:eastAsia="Times New Roman" w:hAnsi="Arial" w:cs="Arial"/>
          <w:color w:val="5A5B5B"/>
          <w:sz w:val="24"/>
          <w:szCs w:val="24"/>
          <w:lang w:eastAsia="en-GB"/>
        </w:rPr>
        <w:t xml:space="preserve"> to sexual interactions with other children that include behaviours more explicit than sex play, and aggressive sexual behaviours.</w:t>
      </w:r>
    </w:p>
    <w:p w14:paraId="0D07B7C5" w14:textId="77777777" w:rsidR="007B0C77" w:rsidRDefault="007B0C77"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 Sometimes, the term ‘problematic sexual behaviour’ is used to describe behaviours that may be developmentally appropriate but that are expressed inappr</w:t>
      </w:r>
      <w:r w:rsidR="00B73217" w:rsidRPr="006962B6">
        <w:rPr>
          <w:rFonts w:ascii="Arial" w:eastAsia="Times New Roman" w:hAnsi="Arial" w:cs="Arial"/>
          <w:color w:val="5A5B5B"/>
          <w:sz w:val="24"/>
          <w:szCs w:val="24"/>
          <w:lang w:eastAsia="en-GB"/>
        </w:rPr>
        <w:t xml:space="preserve">opriately in a given context.  </w:t>
      </w:r>
      <w:r w:rsidRPr="006962B6">
        <w:rPr>
          <w:rFonts w:ascii="Arial" w:eastAsia="Times New Roman" w:hAnsi="Arial" w:cs="Arial"/>
          <w:color w:val="5A5B5B"/>
          <w:sz w:val="24"/>
          <w:szCs w:val="24"/>
          <w:lang w:eastAsia="en-GB"/>
        </w:rPr>
        <w:t xml:space="preserve">When this type of behaviour appears to be trauma-related – for example when symptoms originate from sexual abuse the child has experienced – the </w:t>
      </w:r>
      <w:r w:rsidRPr="006962B6">
        <w:rPr>
          <w:rFonts w:ascii="Arial" w:eastAsia="Times New Roman" w:hAnsi="Arial" w:cs="Arial"/>
          <w:color w:val="5A5B5B"/>
          <w:sz w:val="24"/>
          <w:szCs w:val="24"/>
          <w:lang w:eastAsia="en-GB"/>
        </w:rPr>
        <w:lastRenderedPageBreak/>
        <w:t xml:space="preserve">behaviour may be termed sexually reactive. Sexually reactive and sexually problematic behaviours are more commonly associated with children in the pre-adolescent age range. </w:t>
      </w:r>
    </w:p>
    <w:p w14:paraId="7C21B0AB" w14:textId="77777777" w:rsidR="006962B6" w:rsidRPr="006962B6" w:rsidRDefault="006962B6" w:rsidP="006962B6">
      <w:pPr>
        <w:shd w:val="clear" w:color="auto" w:fill="FFFFFF"/>
        <w:spacing w:after="0" w:line="240" w:lineRule="auto"/>
        <w:jc w:val="both"/>
        <w:rPr>
          <w:rFonts w:ascii="Arial" w:eastAsia="Times New Roman" w:hAnsi="Arial" w:cs="Arial"/>
          <w:color w:val="5A5B5B"/>
          <w:sz w:val="24"/>
          <w:szCs w:val="24"/>
          <w:lang w:eastAsia="en-GB"/>
        </w:rPr>
      </w:pPr>
    </w:p>
    <w:p w14:paraId="3383817D" w14:textId="77777777" w:rsidR="00FE524C" w:rsidRDefault="007B0C77"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Abusive behaviours involve an element of coercion or manipulation and a power imbalance that means the victim cannot give informed consent, and where the behaviour has potential to cause physical or emotional harm. Power imbalance may be due to age, intellectual ability, </w:t>
      </w:r>
      <w:proofErr w:type="gramStart"/>
      <w:r w:rsidRPr="006962B6">
        <w:rPr>
          <w:rFonts w:ascii="Arial" w:eastAsia="Times New Roman" w:hAnsi="Arial" w:cs="Arial"/>
          <w:color w:val="5A5B5B"/>
          <w:sz w:val="24"/>
          <w:szCs w:val="24"/>
          <w:lang w:eastAsia="en-GB"/>
        </w:rPr>
        <w:t>disability</w:t>
      </w:r>
      <w:proofErr w:type="gramEnd"/>
      <w:r w:rsidRPr="006962B6">
        <w:rPr>
          <w:rFonts w:ascii="Arial" w:eastAsia="Times New Roman" w:hAnsi="Arial" w:cs="Arial"/>
          <w:color w:val="5A5B5B"/>
          <w:sz w:val="24"/>
          <w:szCs w:val="24"/>
          <w:lang w:eastAsia="en-GB"/>
        </w:rPr>
        <w:t xml:space="preserve"> or physical strength. Abusive sexual behaviour may or may not have resulted in a criminal conviction or prosecution. Such behaviours are more commonly associated with young people over the age of criminal responsibility or those in puberty. As both problematic and abusive sexual behaviours are developmentally inappropriate and may cause developmental damage, a useful umbrella term is ‘harmful sexual behaviour’ or HSB. This term has been adopted widely in the </w:t>
      </w:r>
      <w:proofErr w:type="gramStart"/>
      <w:r w:rsidR="00B73217" w:rsidRPr="006962B6">
        <w:rPr>
          <w:rFonts w:ascii="Arial" w:eastAsia="Times New Roman" w:hAnsi="Arial" w:cs="Arial"/>
          <w:color w:val="5A5B5B"/>
          <w:sz w:val="24"/>
          <w:szCs w:val="24"/>
          <w:lang w:eastAsia="en-GB"/>
        </w:rPr>
        <w:t>field, and</w:t>
      </w:r>
      <w:proofErr w:type="gramEnd"/>
      <w:r w:rsidR="00B73217" w:rsidRPr="006962B6">
        <w:rPr>
          <w:rFonts w:ascii="Arial" w:eastAsia="Times New Roman" w:hAnsi="Arial" w:cs="Arial"/>
          <w:color w:val="5A5B5B"/>
          <w:sz w:val="24"/>
          <w:szCs w:val="24"/>
          <w:lang w:eastAsia="en-GB"/>
        </w:rPr>
        <w:t xml:space="preserve"> is used by both the NSPCC and the AIM project.</w:t>
      </w:r>
    </w:p>
    <w:p w14:paraId="570B6B81" w14:textId="77777777" w:rsidR="007B0C77" w:rsidRPr="006962B6" w:rsidRDefault="00B73217" w:rsidP="006962B6">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 </w:t>
      </w:r>
    </w:p>
    <w:p w14:paraId="6C281E8F" w14:textId="77777777" w:rsidR="00B73217" w:rsidRPr="00FE524C" w:rsidRDefault="00B73217" w:rsidP="00FE524C">
      <w:pPr>
        <w:pStyle w:val="ListParagraph"/>
        <w:numPr>
          <w:ilvl w:val="0"/>
          <w:numId w:val="6"/>
        </w:numPr>
        <w:shd w:val="clear" w:color="auto" w:fill="FFFFFF"/>
        <w:spacing w:after="0" w:line="240" w:lineRule="auto"/>
        <w:ind w:left="426" w:hanging="426"/>
        <w:jc w:val="both"/>
        <w:outlineLvl w:val="1"/>
        <w:rPr>
          <w:rFonts w:ascii="Arial" w:eastAsia="Times New Roman" w:hAnsi="Arial" w:cs="Arial"/>
          <w:b/>
          <w:bCs/>
          <w:color w:val="50575B"/>
          <w:sz w:val="24"/>
          <w:szCs w:val="24"/>
          <w:lang w:eastAsia="en-GB"/>
        </w:rPr>
      </w:pPr>
      <w:r w:rsidRPr="00FE524C">
        <w:rPr>
          <w:rFonts w:ascii="Arial" w:eastAsia="Times New Roman" w:hAnsi="Arial" w:cs="Arial"/>
          <w:b/>
          <w:bCs/>
          <w:color w:val="50575B"/>
          <w:sz w:val="24"/>
          <w:szCs w:val="24"/>
          <w:lang w:eastAsia="en-GB"/>
        </w:rPr>
        <w:t>Hackett</w:t>
      </w:r>
      <w:r w:rsidR="00CC01A4" w:rsidRPr="00FE524C">
        <w:rPr>
          <w:rFonts w:ascii="Arial" w:eastAsia="Times New Roman" w:hAnsi="Arial" w:cs="Arial"/>
          <w:b/>
          <w:bCs/>
          <w:color w:val="50575B"/>
          <w:sz w:val="24"/>
          <w:szCs w:val="24"/>
          <w:lang w:eastAsia="en-GB"/>
        </w:rPr>
        <w:t xml:space="preserve"> (2010)</w:t>
      </w:r>
      <w:r w:rsidRPr="00FE524C">
        <w:rPr>
          <w:rFonts w:ascii="Arial" w:eastAsia="Times New Roman" w:hAnsi="Arial" w:cs="Arial"/>
          <w:b/>
          <w:bCs/>
          <w:color w:val="50575B"/>
          <w:sz w:val="24"/>
          <w:szCs w:val="24"/>
          <w:lang w:eastAsia="en-GB"/>
        </w:rPr>
        <w:t xml:space="preserve"> continuum of sexual behaviours.</w:t>
      </w:r>
    </w:p>
    <w:p w14:paraId="5A2946F6" w14:textId="77777777" w:rsidR="00FE524C" w:rsidRPr="00FE524C" w:rsidRDefault="00FE524C" w:rsidP="00FE524C">
      <w:pPr>
        <w:pStyle w:val="ListParagraph"/>
        <w:shd w:val="clear" w:color="auto" w:fill="FFFFFF"/>
        <w:spacing w:after="0" w:line="240" w:lineRule="auto"/>
        <w:jc w:val="both"/>
        <w:outlineLvl w:val="1"/>
        <w:rPr>
          <w:rFonts w:ascii="Arial" w:eastAsia="Times New Roman" w:hAnsi="Arial" w:cs="Arial"/>
          <w:b/>
          <w:bCs/>
          <w:color w:val="50575B"/>
          <w:sz w:val="24"/>
          <w:szCs w:val="24"/>
          <w:lang w:eastAsia="en-GB"/>
        </w:rPr>
      </w:pPr>
    </w:p>
    <w:p w14:paraId="7C9444AC" w14:textId="77777777" w:rsidR="00B73217" w:rsidRDefault="00B73217" w:rsidP="00FE524C">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It is vital for professionals to distinguish normal from abnormal sexual behaviours. </w:t>
      </w:r>
      <w:proofErr w:type="spellStart"/>
      <w:r w:rsidRPr="006962B6">
        <w:rPr>
          <w:rFonts w:ascii="Arial" w:eastAsia="Times New Roman" w:hAnsi="Arial" w:cs="Arial"/>
          <w:color w:val="5A5B5B"/>
          <w:sz w:val="24"/>
          <w:szCs w:val="24"/>
          <w:lang w:eastAsia="en-GB"/>
        </w:rPr>
        <w:t>Chaffi</w:t>
      </w:r>
      <w:proofErr w:type="spellEnd"/>
      <w:r w:rsidRPr="006962B6">
        <w:rPr>
          <w:rFonts w:ascii="Arial" w:eastAsia="Times New Roman" w:hAnsi="Arial" w:cs="Arial"/>
          <w:color w:val="5A5B5B"/>
          <w:sz w:val="24"/>
          <w:szCs w:val="24"/>
          <w:lang w:eastAsia="en-GB"/>
        </w:rPr>
        <w:t xml:space="preserve"> n, Letourneau and </w:t>
      </w:r>
      <w:proofErr w:type="spellStart"/>
      <w:r w:rsidRPr="006962B6">
        <w:rPr>
          <w:rFonts w:ascii="Arial" w:eastAsia="Times New Roman" w:hAnsi="Arial" w:cs="Arial"/>
          <w:color w:val="5A5B5B"/>
          <w:sz w:val="24"/>
          <w:szCs w:val="24"/>
          <w:lang w:eastAsia="en-GB"/>
        </w:rPr>
        <w:t>Silovsky</w:t>
      </w:r>
      <w:proofErr w:type="spellEnd"/>
      <w:r w:rsidRPr="006962B6">
        <w:rPr>
          <w:rFonts w:ascii="Arial" w:eastAsia="Times New Roman" w:hAnsi="Arial" w:cs="Arial"/>
          <w:color w:val="5A5B5B"/>
          <w:sz w:val="24"/>
          <w:szCs w:val="24"/>
          <w:lang w:eastAsia="en-GB"/>
        </w:rPr>
        <w:t xml:space="preserve"> (2002) suggest a child’s sexual behaviour should be considered abnormal if it occurs at a frequency greater than would be developmentally expected, interferes with the child’s development, occurs with coercion, intimidation, or </w:t>
      </w:r>
      <w:proofErr w:type="gramStart"/>
      <w:r w:rsidRPr="006962B6">
        <w:rPr>
          <w:rFonts w:ascii="Arial" w:eastAsia="Times New Roman" w:hAnsi="Arial" w:cs="Arial"/>
          <w:color w:val="5A5B5B"/>
          <w:sz w:val="24"/>
          <w:szCs w:val="24"/>
          <w:lang w:eastAsia="en-GB"/>
        </w:rPr>
        <w:t>force</w:t>
      </w:r>
      <w:proofErr w:type="gramEnd"/>
      <w:r w:rsidRPr="006962B6">
        <w:rPr>
          <w:rFonts w:ascii="Arial" w:eastAsia="Times New Roman" w:hAnsi="Arial" w:cs="Arial"/>
          <w:color w:val="5A5B5B"/>
          <w:sz w:val="24"/>
          <w:szCs w:val="24"/>
          <w:lang w:eastAsia="en-GB"/>
        </w:rPr>
        <w:t xml:space="preserve"> and is associated with emotional distress.  It can also occur in children of divergent ages or developmental abilities and in secrecy after intervention by caregivers.</w:t>
      </w:r>
    </w:p>
    <w:p w14:paraId="5F1B7D9B" w14:textId="77777777" w:rsidR="007C321C" w:rsidRPr="006962B6" w:rsidRDefault="007C321C" w:rsidP="007C321C">
      <w:pPr>
        <w:shd w:val="clear" w:color="auto" w:fill="FFFFFF"/>
        <w:spacing w:after="0" w:line="240" w:lineRule="auto"/>
        <w:jc w:val="both"/>
        <w:rPr>
          <w:rFonts w:ascii="Arial" w:eastAsia="Times New Roman" w:hAnsi="Arial" w:cs="Arial"/>
          <w:color w:val="5A5B5B"/>
          <w:sz w:val="24"/>
          <w:szCs w:val="24"/>
          <w:lang w:eastAsia="en-GB"/>
        </w:rPr>
      </w:pPr>
    </w:p>
    <w:p w14:paraId="3CAE9EB7" w14:textId="77777777" w:rsidR="00B73217" w:rsidRDefault="00B73217" w:rsidP="007C321C">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b/>
          <w:color w:val="5A5B5B"/>
          <w:sz w:val="24"/>
          <w:szCs w:val="24"/>
          <w:lang w:eastAsia="en-GB"/>
        </w:rPr>
        <w:t>Normal.</w:t>
      </w:r>
      <w:r w:rsidRPr="006962B6">
        <w:rPr>
          <w:rFonts w:ascii="Arial" w:eastAsia="Times New Roman" w:hAnsi="Arial" w:cs="Arial"/>
          <w:color w:val="5A5B5B"/>
          <w:sz w:val="24"/>
          <w:szCs w:val="24"/>
          <w:lang w:eastAsia="en-GB"/>
        </w:rPr>
        <w:t xml:space="preserve">  Developmentally expected, socially acceptable, consensual, mutual, reciprocal, shared decision making.</w:t>
      </w:r>
    </w:p>
    <w:p w14:paraId="120BB28B" w14:textId="77777777" w:rsidR="007C321C" w:rsidRPr="006962B6" w:rsidRDefault="007C321C" w:rsidP="007C321C">
      <w:pPr>
        <w:shd w:val="clear" w:color="auto" w:fill="FFFFFF"/>
        <w:spacing w:after="0" w:line="240" w:lineRule="auto"/>
        <w:jc w:val="both"/>
        <w:rPr>
          <w:rFonts w:ascii="Arial" w:eastAsia="Times New Roman" w:hAnsi="Arial" w:cs="Arial"/>
          <w:color w:val="5A5B5B"/>
          <w:sz w:val="24"/>
          <w:szCs w:val="24"/>
          <w:lang w:eastAsia="en-GB"/>
        </w:rPr>
      </w:pPr>
    </w:p>
    <w:p w14:paraId="65CD2CBA" w14:textId="77777777" w:rsidR="00B73217" w:rsidRDefault="00B73217" w:rsidP="007C321C">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b/>
          <w:color w:val="5A5B5B"/>
          <w:sz w:val="24"/>
          <w:szCs w:val="24"/>
          <w:lang w:eastAsia="en-GB"/>
        </w:rPr>
        <w:t>Inappropriate</w:t>
      </w:r>
      <w:r w:rsidRPr="006962B6">
        <w:rPr>
          <w:rFonts w:ascii="Arial" w:eastAsia="Times New Roman" w:hAnsi="Arial" w:cs="Arial"/>
          <w:color w:val="5A5B5B"/>
          <w:sz w:val="24"/>
          <w:szCs w:val="24"/>
          <w:lang w:eastAsia="en-GB"/>
        </w:rPr>
        <w:t>.  Single instances of inappropriate sexual behaviour, socially acceptable behaviour within peer group, context for behaviour may be inappropriate, generally consensual and reciprocal.</w:t>
      </w:r>
    </w:p>
    <w:p w14:paraId="0B39B82F" w14:textId="77777777" w:rsidR="007C321C" w:rsidRPr="006962B6" w:rsidRDefault="007C321C" w:rsidP="007C321C">
      <w:pPr>
        <w:shd w:val="clear" w:color="auto" w:fill="FFFFFF"/>
        <w:spacing w:after="0" w:line="240" w:lineRule="auto"/>
        <w:jc w:val="both"/>
        <w:rPr>
          <w:rFonts w:ascii="Arial" w:eastAsia="Times New Roman" w:hAnsi="Arial" w:cs="Arial"/>
          <w:color w:val="5A5B5B"/>
          <w:sz w:val="24"/>
          <w:szCs w:val="24"/>
          <w:lang w:eastAsia="en-GB"/>
        </w:rPr>
      </w:pPr>
    </w:p>
    <w:p w14:paraId="405BAA08" w14:textId="77777777" w:rsidR="00B73217" w:rsidRDefault="00B73217" w:rsidP="007C321C">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b/>
          <w:color w:val="5A5B5B"/>
          <w:sz w:val="24"/>
          <w:szCs w:val="24"/>
          <w:lang w:eastAsia="en-GB"/>
        </w:rPr>
        <w:t xml:space="preserve">Problematic.  </w:t>
      </w:r>
      <w:r w:rsidRPr="006962B6">
        <w:rPr>
          <w:rFonts w:ascii="Arial" w:eastAsia="Times New Roman" w:hAnsi="Arial" w:cs="Arial"/>
          <w:color w:val="5A5B5B"/>
          <w:sz w:val="24"/>
          <w:szCs w:val="24"/>
          <w:lang w:eastAsia="en-GB"/>
        </w:rPr>
        <w:t>Problematic and concerning behaviours, developmentally unusual and soc</w:t>
      </w:r>
      <w:r w:rsidR="00CC01A4" w:rsidRPr="006962B6">
        <w:rPr>
          <w:rFonts w:ascii="Arial" w:eastAsia="Times New Roman" w:hAnsi="Arial" w:cs="Arial"/>
          <w:color w:val="5A5B5B"/>
          <w:sz w:val="24"/>
          <w:szCs w:val="24"/>
          <w:lang w:eastAsia="en-GB"/>
        </w:rPr>
        <w:t>ially unexpected, n</w:t>
      </w:r>
      <w:r w:rsidRPr="006962B6">
        <w:rPr>
          <w:rFonts w:ascii="Arial" w:eastAsia="Times New Roman" w:hAnsi="Arial" w:cs="Arial"/>
          <w:color w:val="5A5B5B"/>
          <w:sz w:val="24"/>
          <w:szCs w:val="24"/>
          <w:lang w:eastAsia="en-GB"/>
        </w:rPr>
        <w:t>o o</w:t>
      </w:r>
      <w:r w:rsidR="00CC01A4" w:rsidRPr="006962B6">
        <w:rPr>
          <w:rFonts w:ascii="Arial" w:eastAsia="Times New Roman" w:hAnsi="Arial" w:cs="Arial"/>
          <w:color w:val="5A5B5B"/>
          <w:sz w:val="24"/>
          <w:szCs w:val="24"/>
          <w:lang w:eastAsia="en-GB"/>
        </w:rPr>
        <w:t>vert elements of victimisation, c</w:t>
      </w:r>
      <w:r w:rsidRPr="006962B6">
        <w:rPr>
          <w:rFonts w:ascii="Arial" w:eastAsia="Times New Roman" w:hAnsi="Arial" w:cs="Arial"/>
          <w:color w:val="5A5B5B"/>
          <w:sz w:val="24"/>
          <w:szCs w:val="24"/>
          <w:lang w:eastAsia="en-GB"/>
        </w:rPr>
        <w:t xml:space="preserve">onsent issues may be unclear </w:t>
      </w:r>
      <w:r w:rsidR="00CC01A4" w:rsidRPr="006962B6">
        <w:rPr>
          <w:rFonts w:ascii="Arial" w:eastAsia="Times New Roman" w:hAnsi="Arial" w:cs="Arial"/>
          <w:color w:val="5A5B5B"/>
          <w:sz w:val="24"/>
          <w:szCs w:val="24"/>
          <w:lang w:eastAsia="en-GB"/>
        </w:rPr>
        <w:t>and lack reciprocity or equal power, m</w:t>
      </w:r>
      <w:r w:rsidRPr="006962B6">
        <w:rPr>
          <w:rFonts w:ascii="Arial" w:eastAsia="Times New Roman" w:hAnsi="Arial" w:cs="Arial"/>
          <w:color w:val="5A5B5B"/>
          <w:sz w:val="24"/>
          <w:szCs w:val="24"/>
          <w:lang w:eastAsia="en-GB"/>
        </w:rPr>
        <w:t>a</w:t>
      </w:r>
      <w:r w:rsidR="00CC01A4" w:rsidRPr="006962B6">
        <w:rPr>
          <w:rFonts w:ascii="Arial" w:eastAsia="Times New Roman" w:hAnsi="Arial" w:cs="Arial"/>
          <w:color w:val="5A5B5B"/>
          <w:sz w:val="24"/>
          <w:szCs w:val="24"/>
          <w:lang w:eastAsia="en-GB"/>
        </w:rPr>
        <w:t>y include levels of compulsivity.</w:t>
      </w:r>
    </w:p>
    <w:p w14:paraId="1796CF46" w14:textId="77777777" w:rsidR="007C321C" w:rsidRPr="006962B6" w:rsidRDefault="007C321C" w:rsidP="007C321C">
      <w:pPr>
        <w:shd w:val="clear" w:color="auto" w:fill="FFFFFF"/>
        <w:spacing w:after="0" w:line="240" w:lineRule="auto"/>
        <w:jc w:val="both"/>
        <w:rPr>
          <w:rFonts w:ascii="Arial" w:eastAsia="Times New Roman" w:hAnsi="Arial" w:cs="Arial"/>
          <w:color w:val="5A5B5B"/>
          <w:sz w:val="24"/>
          <w:szCs w:val="24"/>
          <w:lang w:eastAsia="en-GB"/>
        </w:rPr>
      </w:pPr>
    </w:p>
    <w:p w14:paraId="0F9A6628" w14:textId="77777777" w:rsidR="00CC01A4" w:rsidRDefault="00CC01A4" w:rsidP="007C321C">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b/>
          <w:color w:val="5A5B5B"/>
          <w:sz w:val="24"/>
          <w:szCs w:val="24"/>
          <w:lang w:eastAsia="en-GB"/>
        </w:rPr>
        <w:t xml:space="preserve">Abusive.  </w:t>
      </w:r>
      <w:r w:rsidRPr="006962B6">
        <w:rPr>
          <w:rFonts w:ascii="Arial" w:eastAsia="Times New Roman" w:hAnsi="Arial" w:cs="Arial"/>
          <w:color w:val="5A5B5B"/>
          <w:sz w:val="24"/>
          <w:szCs w:val="24"/>
          <w:lang w:eastAsia="en-GB"/>
        </w:rPr>
        <w:t xml:space="preserve">Victimising intent or outcome, includes misuse of power, coercion and force to ensure victim </w:t>
      </w:r>
      <w:proofErr w:type="gramStart"/>
      <w:r w:rsidRPr="006962B6">
        <w:rPr>
          <w:rFonts w:ascii="Arial" w:eastAsia="Times New Roman" w:hAnsi="Arial" w:cs="Arial"/>
          <w:color w:val="5A5B5B"/>
          <w:sz w:val="24"/>
          <w:szCs w:val="24"/>
          <w:lang w:eastAsia="en-GB"/>
        </w:rPr>
        <w:t>compliance,  intrusive</w:t>
      </w:r>
      <w:proofErr w:type="gramEnd"/>
      <w:r w:rsidRPr="006962B6">
        <w:rPr>
          <w:rFonts w:ascii="Arial" w:eastAsia="Times New Roman" w:hAnsi="Arial" w:cs="Arial"/>
          <w:color w:val="5A5B5B"/>
          <w:sz w:val="24"/>
          <w:szCs w:val="24"/>
          <w:lang w:eastAsia="en-GB"/>
        </w:rPr>
        <w:t>, informed consent lacking or not able to be freely given by victim, may include elements of expressive violence.</w:t>
      </w:r>
    </w:p>
    <w:p w14:paraId="314DC913" w14:textId="77777777" w:rsidR="007C321C" w:rsidRPr="006962B6" w:rsidRDefault="007C321C" w:rsidP="007C321C">
      <w:pPr>
        <w:shd w:val="clear" w:color="auto" w:fill="FFFFFF"/>
        <w:spacing w:after="0" w:line="240" w:lineRule="auto"/>
        <w:jc w:val="both"/>
        <w:rPr>
          <w:rFonts w:ascii="Arial" w:eastAsia="Times New Roman" w:hAnsi="Arial" w:cs="Arial"/>
          <w:color w:val="5A5B5B"/>
          <w:sz w:val="24"/>
          <w:szCs w:val="24"/>
          <w:lang w:eastAsia="en-GB"/>
        </w:rPr>
      </w:pPr>
    </w:p>
    <w:p w14:paraId="1027AEC1" w14:textId="77777777" w:rsidR="00CC01A4" w:rsidRDefault="00CC01A4" w:rsidP="007C321C">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b/>
          <w:color w:val="5A5B5B"/>
          <w:sz w:val="24"/>
          <w:szCs w:val="24"/>
          <w:lang w:eastAsia="en-GB"/>
        </w:rPr>
        <w:t xml:space="preserve">Violent.  </w:t>
      </w:r>
      <w:r w:rsidRPr="006962B6">
        <w:rPr>
          <w:rFonts w:ascii="Arial" w:eastAsia="Times New Roman" w:hAnsi="Arial" w:cs="Arial"/>
          <w:color w:val="5A5B5B"/>
          <w:sz w:val="24"/>
          <w:szCs w:val="24"/>
          <w:lang w:eastAsia="en-GB"/>
        </w:rPr>
        <w:t>Physically violent sexual abuse, highly intrusive, instrumental violence which is physiologically and/ or sexually arousing to the perpetrator, sadism.</w:t>
      </w:r>
    </w:p>
    <w:p w14:paraId="5D67D537" w14:textId="77777777" w:rsidR="007C321C" w:rsidRPr="006962B6" w:rsidRDefault="007C321C" w:rsidP="007C321C">
      <w:pPr>
        <w:shd w:val="clear" w:color="auto" w:fill="FFFFFF"/>
        <w:spacing w:after="0" w:line="240" w:lineRule="auto"/>
        <w:jc w:val="both"/>
        <w:rPr>
          <w:rFonts w:ascii="Arial" w:eastAsia="Times New Roman" w:hAnsi="Arial" w:cs="Arial"/>
          <w:color w:val="5A5B5B"/>
          <w:sz w:val="24"/>
          <w:szCs w:val="24"/>
          <w:lang w:eastAsia="en-GB"/>
        </w:rPr>
      </w:pPr>
    </w:p>
    <w:p w14:paraId="736B742C" w14:textId="77777777" w:rsidR="00CC01A4" w:rsidRDefault="00CC01A4" w:rsidP="007C321C">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 xml:space="preserve">A continuum of responses </w:t>
      </w:r>
      <w:proofErr w:type="gramStart"/>
      <w:r w:rsidRPr="006962B6">
        <w:rPr>
          <w:rFonts w:ascii="Arial" w:eastAsia="Times New Roman" w:hAnsi="Arial" w:cs="Arial"/>
          <w:color w:val="5A5B5B"/>
          <w:sz w:val="24"/>
          <w:szCs w:val="24"/>
          <w:lang w:eastAsia="en-GB"/>
        </w:rPr>
        <w:t>As</w:t>
      </w:r>
      <w:proofErr w:type="gramEnd"/>
      <w:r w:rsidRPr="006962B6">
        <w:rPr>
          <w:rFonts w:ascii="Arial" w:eastAsia="Times New Roman" w:hAnsi="Arial" w:cs="Arial"/>
          <w:color w:val="5A5B5B"/>
          <w:sz w:val="24"/>
          <w:szCs w:val="24"/>
          <w:lang w:eastAsia="en-GB"/>
        </w:rPr>
        <w:t xml:space="preserve"> identified in Hackett’s model, above, children and young people with harmful sexual behaviours are a varied and complex group with diverse needs that cannot be addressed by a ‘one size fits all’ model of service provision. The wide range of harmful sexual behaviours shown by children and young people means their needs should be met in a variety of different placement contexts. These range from their own homes (most children and young people), general looked-after or care settings (the </w:t>
      </w:r>
      <w:proofErr w:type="gramStart"/>
      <w:r w:rsidRPr="006962B6">
        <w:rPr>
          <w:rFonts w:ascii="Arial" w:eastAsia="Times New Roman" w:hAnsi="Arial" w:cs="Arial"/>
          <w:color w:val="5A5B5B"/>
          <w:sz w:val="24"/>
          <w:szCs w:val="24"/>
          <w:lang w:eastAsia="en-GB"/>
        </w:rPr>
        <w:t>more disadvantaged and hard</w:t>
      </w:r>
      <w:proofErr w:type="gramEnd"/>
      <w:r w:rsidRPr="006962B6">
        <w:rPr>
          <w:rFonts w:ascii="Arial" w:eastAsia="Times New Roman" w:hAnsi="Arial" w:cs="Arial"/>
          <w:color w:val="5A5B5B"/>
          <w:sz w:val="24"/>
          <w:szCs w:val="24"/>
          <w:lang w:eastAsia="en-GB"/>
        </w:rPr>
        <w:t xml:space="preserve"> to manage young people with moderate </w:t>
      </w:r>
      <w:r w:rsidRPr="006962B6">
        <w:rPr>
          <w:rFonts w:ascii="Arial" w:eastAsia="Times New Roman" w:hAnsi="Arial" w:cs="Arial"/>
          <w:color w:val="5A5B5B"/>
          <w:sz w:val="24"/>
          <w:szCs w:val="24"/>
          <w:lang w:eastAsia="en-GB"/>
        </w:rPr>
        <w:lastRenderedPageBreak/>
        <w:t>risk profiles), and more specialist or secure provision (young people who pose a high risk of serious, significant harm to others).</w:t>
      </w:r>
    </w:p>
    <w:p w14:paraId="7C54A9FA" w14:textId="77777777" w:rsidR="007C321C" w:rsidRPr="006962B6" w:rsidRDefault="007C321C" w:rsidP="007C321C">
      <w:pPr>
        <w:shd w:val="clear" w:color="auto" w:fill="FFFFFF"/>
        <w:spacing w:after="0" w:line="240" w:lineRule="auto"/>
        <w:jc w:val="both"/>
        <w:rPr>
          <w:rFonts w:ascii="Arial" w:eastAsia="Times New Roman" w:hAnsi="Arial" w:cs="Arial"/>
          <w:color w:val="5A5B5B"/>
          <w:sz w:val="24"/>
          <w:szCs w:val="24"/>
          <w:lang w:eastAsia="en-GB"/>
        </w:rPr>
      </w:pPr>
    </w:p>
    <w:p w14:paraId="5709CE89" w14:textId="77777777" w:rsidR="00CC01A4" w:rsidRDefault="00CC01A4" w:rsidP="007C321C">
      <w:pPr>
        <w:shd w:val="clear" w:color="auto" w:fill="FFFFFF"/>
        <w:spacing w:after="0" w:line="240" w:lineRule="auto"/>
        <w:jc w:val="both"/>
        <w:rPr>
          <w:rFonts w:ascii="Arial" w:eastAsia="Times New Roman" w:hAnsi="Arial" w:cs="Arial"/>
          <w:color w:val="5A5B5B"/>
          <w:sz w:val="24"/>
          <w:szCs w:val="24"/>
          <w:lang w:eastAsia="en-GB"/>
        </w:rPr>
      </w:pPr>
      <w:r w:rsidRPr="006962B6">
        <w:rPr>
          <w:rFonts w:ascii="Arial" w:eastAsia="Times New Roman" w:hAnsi="Arial" w:cs="Arial"/>
          <w:color w:val="5A5B5B"/>
          <w:sz w:val="24"/>
          <w:szCs w:val="24"/>
          <w:lang w:eastAsia="en-GB"/>
        </w:rPr>
        <w:t>Assessing children and young people and meeting their needs in the context of the notion of a continuum of responses is the subject of the third domain of this framework: effective assessment and referral pathways. In addition to the initial response and support offered to low level cases in frontline settings, several levels of service response and intensity are required in order to address various levels of need and concern.  Hence a small network of regional, highly specialised assessment and treatment services may be required to meet some of the more specialised needs shown by a smaller number of more complex cases</w:t>
      </w:r>
      <w:r w:rsidR="007C321C">
        <w:rPr>
          <w:rFonts w:ascii="Arial" w:eastAsia="Times New Roman" w:hAnsi="Arial" w:cs="Arial"/>
          <w:color w:val="5A5B5B"/>
          <w:sz w:val="24"/>
          <w:szCs w:val="24"/>
          <w:lang w:eastAsia="en-GB"/>
        </w:rPr>
        <w:t>.</w:t>
      </w:r>
    </w:p>
    <w:p w14:paraId="2E453B35" w14:textId="77777777" w:rsidR="007C321C" w:rsidRPr="006962B6" w:rsidRDefault="007C321C" w:rsidP="007C321C">
      <w:pPr>
        <w:shd w:val="clear" w:color="auto" w:fill="FFFFFF"/>
        <w:spacing w:after="0" w:line="240" w:lineRule="auto"/>
        <w:jc w:val="both"/>
        <w:rPr>
          <w:rFonts w:ascii="Arial" w:eastAsia="Times New Roman" w:hAnsi="Arial" w:cs="Arial"/>
          <w:color w:val="5A5B5B"/>
          <w:sz w:val="24"/>
          <w:szCs w:val="24"/>
          <w:lang w:eastAsia="en-GB"/>
        </w:rPr>
      </w:pPr>
    </w:p>
    <w:p w14:paraId="30FD2723" w14:textId="77777777" w:rsidR="00CC01A4" w:rsidRPr="007C321C" w:rsidRDefault="00CC01A4" w:rsidP="007C321C">
      <w:pPr>
        <w:pStyle w:val="ListParagraph"/>
        <w:numPr>
          <w:ilvl w:val="0"/>
          <w:numId w:val="5"/>
        </w:numPr>
        <w:shd w:val="clear" w:color="auto" w:fill="FFFFFF"/>
        <w:spacing w:after="0" w:line="240" w:lineRule="auto"/>
        <w:ind w:left="426" w:hanging="426"/>
        <w:jc w:val="both"/>
        <w:outlineLvl w:val="1"/>
        <w:rPr>
          <w:rFonts w:ascii="Arial" w:eastAsia="Times New Roman" w:hAnsi="Arial" w:cs="Arial"/>
          <w:b/>
          <w:bCs/>
          <w:color w:val="50575B"/>
          <w:sz w:val="24"/>
          <w:szCs w:val="24"/>
          <w:lang w:eastAsia="en-GB"/>
        </w:rPr>
      </w:pPr>
      <w:r w:rsidRPr="007C321C">
        <w:rPr>
          <w:rFonts w:ascii="Arial" w:eastAsia="Times New Roman" w:hAnsi="Arial" w:cs="Arial"/>
          <w:b/>
          <w:bCs/>
          <w:color w:val="50575B"/>
          <w:sz w:val="24"/>
          <w:szCs w:val="24"/>
          <w:lang w:eastAsia="en-GB"/>
        </w:rPr>
        <w:t>Referral and Assessment</w:t>
      </w:r>
    </w:p>
    <w:p w14:paraId="7AD33D1B" w14:textId="77777777" w:rsidR="007C321C" w:rsidRPr="007C321C" w:rsidRDefault="007C321C" w:rsidP="007C321C">
      <w:pPr>
        <w:pStyle w:val="ListParagraph"/>
        <w:shd w:val="clear" w:color="auto" w:fill="FFFFFF"/>
        <w:spacing w:after="0" w:line="240" w:lineRule="auto"/>
        <w:jc w:val="both"/>
        <w:outlineLvl w:val="1"/>
        <w:rPr>
          <w:rFonts w:ascii="Arial" w:eastAsia="Times New Roman" w:hAnsi="Arial" w:cs="Arial"/>
          <w:b/>
          <w:bCs/>
          <w:color w:val="50575B"/>
          <w:sz w:val="24"/>
          <w:szCs w:val="24"/>
          <w:lang w:eastAsia="en-GB"/>
        </w:rPr>
      </w:pPr>
    </w:p>
    <w:p w14:paraId="14DC3B62" w14:textId="77777777" w:rsidR="00BD37B2" w:rsidRPr="006962B6" w:rsidRDefault="00CC01A4" w:rsidP="007C321C">
      <w:pPr>
        <w:shd w:val="clear" w:color="auto" w:fill="FFFFFF"/>
        <w:spacing w:after="0" w:line="240" w:lineRule="auto"/>
        <w:jc w:val="both"/>
        <w:rPr>
          <w:rFonts w:ascii="Arial" w:hAnsi="Arial" w:cs="Arial"/>
          <w:sz w:val="24"/>
          <w:szCs w:val="24"/>
        </w:rPr>
      </w:pPr>
      <w:r w:rsidRPr="006962B6">
        <w:rPr>
          <w:rFonts w:ascii="Arial" w:eastAsia="Times New Roman" w:hAnsi="Arial" w:cs="Arial"/>
          <w:color w:val="5A5B5B"/>
          <w:sz w:val="24"/>
          <w:szCs w:val="24"/>
          <w:lang w:eastAsia="en-GB"/>
        </w:rPr>
        <w:t xml:space="preserve">Anyone who has a concern that a child might have been abused by another child, or an adult has been the victim of harmful sexual behaviour by a child or young person under 18 should refer their concerns to Children's Social Care or the Police in accordance with the local SET Procedures. Any professional who is unsure of the need for such a referral must seek advice from the safeguarding lead within their agency.   Please refer to the Thurrock </w:t>
      </w:r>
      <w:r w:rsidR="00797CF7" w:rsidRPr="006962B6">
        <w:rPr>
          <w:rFonts w:ascii="Arial" w:eastAsia="Times New Roman" w:hAnsi="Arial" w:cs="Arial"/>
          <w:color w:val="5A5B5B"/>
          <w:sz w:val="24"/>
          <w:szCs w:val="24"/>
          <w:lang w:eastAsia="en-GB"/>
        </w:rPr>
        <w:t xml:space="preserve">Procedure and step by step guidance for assessing adolescents and children who commit harmful sexual behaviour. </w:t>
      </w:r>
    </w:p>
    <w:sectPr w:rsidR="00BD37B2" w:rsidRPr="006962B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ABEDE" w14:textId="77777777" w:rsidR="00920EFB" w:rsidRDefault="00920EFB" w:rsidP="00797CF7">
      <w:pPr>
        <w:spacing w:after="0" w:line="240" w:lineRule="auto"/>
      </w:pPr>
      <w:r>
        <w:separator/>
      </w:r>
    </w:p>
  </w:endnote>
  <w:endnote w:type="continuationSeparator" w:id="0">
    <w:p w14:paraId="3B2743BE" w14:textId="77777777" w:rsidR="00920EFB" w:rsidRDefault="00920EFB" w:rsidP="0079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880034"/>
      <w:docPartObj>
        <w:docPartGallery w:val="Page Numbers (Bottom of Page)"/>
        <w:docPartUnique/>
      </w:docPartObj>
    </w:sdtPr>
    <w:sdtEndPr>
      <w:rPr>
        <w:noProof/>
      </w:rPr>
    </w:sdtEndPr>
    <w:sdtContent>
      <w:p w14:paraId="6D277FD8" w14:textId="77777777" w:rsidR="007C321C" w:rsidRDefault="007C321C">
        <w:pPr>
          <w:pStyle w:val="Footer"/>
          <w:jc w:val="center"/>
        </w:pPr>
        <w:r>
          <w:fldChar w:fldCharType="begin"/>
        </w:r>
        <w:r>
          <w:instrText xml:space="preserve"> PAGE   \* MERGEFORMAT </w:instrText>
        </w:r>
        <w:r>
          <w:fldChar w:fldCharType="separate"/>
        </w:r>
        <w:r w:rsidR="00BA41EC">
          <w:rPr>
            <w:noProof/>
          </w:rPr>
          <w:t>1</w:t>
        </w:r>
        <w:r>
          <w:rPr>
            <w:noProof/>
          </w:rPr>
          <w:fldChar w:fldCharType="end"/>
        </w:r>
      </w:p>
    </w:sdtContent>
  </w:sdt>
  <w:p w14:paraId="1F606C9F" w14:textId="77777777" w:rsidR="00797CF7" w:rsidRDefault="0079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00991" w14:textId="77777777" w:rsidR="00920EFB" w:rsidRDefault="00920EFB" w:rsidP="00797CF7">
      <w:pPr>
        <w:spacing w:after="0" w:line="240" w:lineRule="auto"/>
      </w:pPr>
      <w:r>
        <w:separator/>
      </w:r>
    </w:p>
  </w:footnote>
  <w:footnote w:type="continuationSeparator" w:id="0">
    <w:p w14:paraId="63AE57DD" w14:textId="77777777" w:rsidR="00920EFB" w:rsidRDefault="00920EFB" w:rsidP="00797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C37F" w14:textId="77777777" w:rsidR="007C321C" w:rsidRDefault="007C321C">
    <w:pPr>
      <w:pStyle w:val="Header"/>
    </w:pPr>
    <w:r>
      <w:rPr>
        <w:rFonts w:ascii="Franklin Gothic Heavy" w:eastAsia="Arial Unicode MS" w:hAnsi="Franklin Gothic Heavy" w:cs="Arial Unicode MS"/>
        <w:b/>
        <w:bCs/>
        <w:i/>
        <w:iCs/>
        <w:noProof/>
        <w:color w:val="003366"/>
        <w:lang w:eastAsia="en-GB"/>
      </w:rPr>
      <w:drawing>
        <wp:anchor distT="0" distB="0" distL="114300" distR="114300" simplePos="0" relativeHeight="251659264" behindDoc="1" locked="1" layoutInCell="1" allowOverlap="1" wp14:anchorId="5715814E" wp14:editId="6F0E77E2">
          <wp:simplePos x="0" y="0"/>
          <wp:positionH relativeFrom="page">
            <wp:align>left</wp:align>
          </wp:positionH>
          <wp:positionV relativeFrom="page">
            <wp:posOffset>290195</wp:posOffset>
          </wp:positionV>
          <wp:extent cx="7559040" cy="359410"/>
          <wp:effectExtent l="0" t="0" r="381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7138" t="3" r="6013" b="-3"/>
                  <a:stretch>
                    <a:fillRect/>
                  </a:stretch>
                </pic:blipFill>
                <pic:spPr bwMode="auto">
                  <a:xfrm>
                    <a:off x="0" y="0"/>
                    <a:ext cx="7559040" cy="359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51A7F"/>
    <w:multiLevelType w:val="hybridMultilevel"/>
    <w:tmpl w:val="8CEEF7EC"/>
    <w:lvl w:ilvl="0" w:tplc="0809000F">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1826C96"/>
    <w:multiLevelType w:val="multilevel"/>
    <w:tmpl w:val="FAD6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D753E"/>
    <w:multiLevelType w:val="multilevel"/>
    <w:tmpl w:val="20F22E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A4256CE"/>
    <w:multiLevelType w:val="hybridMultilevel"/>
    <w:tmpl w:val="A04C033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877CA5"/>
    <w:multiLevelType w:val="hybridMultilevel"/>
    <w:tmpl w:val="5864669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646376"/>
    <w:multiLevelType w:val="hybridMultilevel"/>
    <w:tmpl w:val="82B26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8406468">
    <w:abstractNumId w:val="1"/>
  </w:num>
  <w:num w:numId="2" w16cid:durableId="61754388">
    <w:abstractNumId w:val="2"/>
  </w:num>
  <w:num w:numId="3" w16cid:durableId="1180704303">
    <w:abstractNumId w:val="5"/>
  </w:num>
  <w:num w:numId="4" w16cid:durableId="648444314">
    <w:abstractNumId w:val="3"/>
  </w:num>
  <w:num w:numId="5" w16cid:durableId="888496193">
    <w:abstractNumId w:val="4"/>
  </w:num>
  <w:num w:numId="6" w16cid:durableId="120980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B2"/>
    <w:rsid w:val="00100FA5"/>
    <w:rsid w:val="00132345"/>
    <w:rsid w:val="003B6316"/>
    <w:rsid w:val="006962B6"/>
    <w:rsid w:val="006C285E"/>
    <w:rsid w:val="00797CF7"/>
    <w:rsid w:val="007B0C77"/>
    <w:rsid w:val="007B25B9"/>
    <w:rsid w:val="007C321C"/>
    <w:rsid w:val="00920EFB"/>
    <w:rsid w:val="00A62416"/>
    <w:rsid w:val="00B207DB"/>
    <w:rsid w:val="00B30B7E"/>
    <w:rsid w:val="00B73217"/>
    <w:rsid w:val="00BA41EC"/>
    <w:rsid w:val="00BD37B2"/>
    <w:rsid w:val="00CC01A4"/>
    <w:rsid w:val="00D97E7C"/>
    <w:rsid w:val="00DE4982"/>
    <w:rsid w:val="00FC46E6"/>
    <w:rsid w:val="00FD5456"/>
    <w:rsid w:val="00FE524C"/>
    <w:rsid w:val="00FF4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05E7"/>
  <w15:chartTrackingRefBased/>
  <w15:docId w15:val="{8EC2DB01-5EC3-4A4F-BFD2-5A8C4A2B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CF7"/>
  </w:style>
  <w:style w:type="paragraph" w:styleId="Footer">
    <w:name w:val="footer"/>
    <w:basedOn w:val="Normal"/>
    <w:link w:val="FooterChar"/>
    <w:uiPriority w:val="99"/>
    <w:unhideWhenUsed/>
    <w:rsid w:val="0079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CF7"/>
  </w:style>
  <w:style w:type="paragraph" w:styleId="ListParagraph">
    <w:name w:val="List Paragraph"/>
    <w:basedOn w:val="Normal"/>
    <w:uiPriority w:val="34"/>
    <w:qFormat/>
    <w:rsid w:val="006962B6"/>
    <w:pPr>
      <w:ind w:left="720"/>
      <w:contextualSpacing/>
    </w:pPr>
  </w:style>
  <w:style w:type="table" w:styleId="TableGrid">
    <w:name w:val="Table Grid"/>
    <w:basedOn w:val="TableNormal"/>
    <w:uiPriority w:val="99"/>
    <w:rsid w:val="007C32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95843">
      <w:bodyDiv w:val="1"/>
      <w:marLeft w:val="0"/>
      <w:marRight w:val="0"/>
      <w:marTop w:val="0"/>
      <w:marBottom w:val="0"/>
      <w:divBdr>
        <w:top w:val="none" w:sz="0" w:space="0" w:color="auto"/>
        <w:left w:val="none" w:sz="0" w:space="0" w:color="auto"/>
        <w:bottom w:val="none" w:sz="0" w:space="0" w:color="auto"/>
        <w:right w:val="none" w:sz="0" w:space="0" w:color="auto"/>
      </w:divBdr>
      <w:divsChild>
        <w:div w:id="1928997285">
          <w:marLeft w:val="0"/>
          <w:marRight w:val="0"/>
          <w:marTop w:val="75"/>
          <w:marBottom w:val="0"/>
          <w:divBdr>
            <w:top w:val="none" w:sz="0" w:space="0" w:color="auto"/>
            <w:left w:val="none" w:sz="0" w:space="0" w:color="auto"/>
            <w:bottom w:val="none" w:sz="0" w:space="0" w:color="auto"/>
            <w:right w:val="none" w:sz="0" w:space="0" w:color="auto"/>
          </w:divBdr>
          <w:divsChild>
            <w:div w:id="1526015989">
              <w:marLeft w:val="0"/>
              <w:marRight w:val="0"/>
              <w:marTop w:val="0"/>
              <w:marBottom w:val="0"/>
              <w:divBdr>
                <w:top w:val="single" w:sz="6" w:space="8" w:color="CCCCCC"/>
                <w:left w:val="single" w:sz="6" w:space="11" w:color="CCCCCC"/>
                <w:bottom w:val="single" w:sz="18" w:space="19" w:color="999999"/>
                <w:right w:val="single" w:sz="18" w:space="8" w:color="999999"/>
              </w:divBdr>
              <w:divsChild>
                <w:div w:id="173076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939298">
      <w:bodyDiv w:val="1"/>
      <w:marLeft w:val="0"/>
      <w:marRight w:val="0"/>
      <w:marTop w:val="0"/>
      <w:marBottom w:val="0"/>
      <w:divBdr>
        <w:top w:val="none" w:sz="0" w:space="0" w:color="auto"/>
        <w:left w:val="none" w:sz="0" w:space="0" w:color="auto"/>
        <w:bottom w:val="none" w:sz="0" w:space="0" w:color="auto"/>
        <w:right w:val="none" w:sz="0" w:space="0" w:color="auto"/>
      </w:divBdr>
      <w:divsChild>
        <w:div w:id="980578093">
          <w:marLeft w:val="0"/>
          <w:marRight w:val="0"/>
          <w:marTop w:val="75"/>
          <w:marBottom w:val="0"/>
          <w:divBdr>
            <w:top w:val="none" w:sz="0" w:space="0" w:color="auto"/>
            <w:left w:val="none" w:sz="0" w:space="0" w:color="auto"/>
            <w:bottom w:val="none" w:sz="0" w:space="0" w:color="auto"/>
            <w:right w:val="none" w:sz="0" w:space="0" w:color="auto"/>
          </w:divBdr>
          <w:divsChild>
            <w:div w:id="854539306">
              <w:marLeft w:val="0"/>
              <w:marRight w:val="0"/>
              <w:marTop w:val="0"/>
              <w:marBottom w:val="0"/>
              <w:divBdr>
                <w:top w:val="single" w:sz="6" w:space="8" w:color="CCCCCC"/>
                <w:left w:val="single" w:sz="6" w:space="11" w:color="CCCCCC"/>
                <w:bottom w:val="single" w:sz="18" w:space="19" w:color="999999"/>
                <w:right w:val="single" w:sz="18" w:space="8" w:color="999999"/>
              </w:divBdr>
              <w:divsChild>
                <w:div w:id="1367875124">
                  <w:marLeft w:val="0"/>
                  <w:marRight w:val="0"/>
                  <w:marTop w:val="0"/>
                  <w:marBottom w:val="0"/>
                  <w:divBdr>
                    <w:top w:val="none" w:sz="0" w:space="0" w:color="auto"/>
                    <w:left w:val="none" w:sz="0" w:space="0" w:color="auto"/>
                    <w:bottom w:val="none" w:sz="0" w:space="0" w:color="auto"/>
                    <w:right w:val="none" w:sz="0" w:space="0" w:color="auto"/>
                  </w:divBdr>
                  <w:divsChild>
                    <w:div w:id="1378698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89125333">
      <w:bodyDiv w:val="1"/>
      <w:marLeft w:val="0"/>
      <w:marRight w:val="0"/>
      <w:marTop w:val="0"/>
      <w:marBottom w:val="0"/>
      <w:divBdr>
        <w:top w:val="none" w:sz="0" w:space="0" w:color="auto"/>
        <w:left w:val="none" w:sz="0" w:space="0" w:color="auto"/>
        <w:bottom w:val="none" w:sz="0" w:space="0" w:color="auto"/>
        <w:right w:val="none" w:sz="0" w:space="0" w:color="auto"/>
      </w:divBdr>
      <w:divsChild>
        <w:div w:id="1655525524">
          <w:marLeft w:val="0"/>
          <w:marRight w:val="0"/>
          <w:marTop w:val="75"/>
          <w:marBottom w:val="0"/>
          <w:divBdr>
            <w:top w:val="none" w:sz="0" w:space="0" w:color="auto"/>
            <w:left w:val="none" w:sz="0" w:space="0" w:color="auto"/>
            <w:bottom w:val="none" w:sz="0" w:space="0" w:color="auto"/>
            <w:right w:val="none" w:sz="0" w:space="0" w:color="auto"/>
          </w:divBdr>
          <w:divsChild>
            <w:div w:id="1554535849">
              <w:marLeft w:val="0"/>
              <w:marRight w:val="0"/>
              <w:marTop w:val="0"/>
              <w:marBottom w:val="0"/>
              <w:divBdr>
                <w:top w:val="single" w:sz="6" w:space="8" w:color="CCCCCC"/>
                <w:left w:val="single" w:sz="6" w:space="11" w:color="CCCCCC"/>
                <w:bottom w:val="single" w:sz="18" w:space="19" w:color="999999"/>
                <w:right w:val="single" w:sz="18" w:space="8" w:color="999999"/>
              </w:divBdr>
              <w:divsChild>
                <w:div w:id="8797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75190">
      <w:bodyDiv w:val="1"/>
      <w:marLeft w:val="0"/>
      <w:marRight w:val="0"/>
      <w:marTop w:val="0"/>
      <w:marBottom w:val="0"/>
      <w:divBdr>
        <w:top w:val="none" w:sz="0" w:space="0" w:color="auto"/>
        <w:left w:val="none" w:sz="0" w:space="0" w:color="auto"/>
        <w:bottom w:val="none" w:sz="0" w:space="0" w:color="auto"/>
        <w:right w:val="none" w:sz="0" w:space="0" w:color="auto"/>
      </w:divBdr>
      <w:divsChild>
        <w:div w:id="381910317">
          <w:marLeft w:val="0"/>
          <w:marRight w:val="0"/>
          <w:marTop w:val="75"/>
          <w:marBottom w:val="0"/>
          <w:divBdr>
            <w:top w:val="none" w:sz="0" w:space="0" w:color="auto"/>
            <w:left w:val="none" w:sz="0" w:space="0" w:color="auto"/>
            <w:bottom w:val="none" w:sz="0" w:space="0" w:color="auto"/>
            <w:right w:val="none" w:sz="0" w:space="0" w:color="auto"/>
          </w:divBdr>
          <w:divsChild>
            <w:div w:id="288245045">
              <w:marLeft w:val="0"/>
              <w:marRight w:val="0"/>
              <w:marTop w:val="0"/>
              <w:marBottom w:val="0"/>
              <w:divBdr>
                <w:top w:val="single" w:sz="6" w:space="8" w:color="CCCCCC"/>
                <w:left w:val="single" w:sz="6" w:space="11" w:color="CCCCCC"/>
                <w:bottom w:val="single" w:sz="18" w:space="19" w:color="999999"/>
                <w:right w:val="single" w:sz="18" w:space="8" w:color="999999"/>
              </w:divBdr>
              <w:divsChild>
                <w:div w:id="3836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4131">
      <w:bodyDiv w:val="1"/>
      <w:marLeft w:val="0"/>
      <w:marRight w:val="0"/>
      <w:marTop w:val="0"/>
      <w:marBottom w:val="0"/>
      <w:divBdr>
        <w:top w:val="none" w:sz="0" w:space="0" w:color="auto"/>
        <w:left w:val="none" w:sz="0" w:space="0" w:color="auto"/>
        <w:bottom w:val="none" w:sz="0" w:space="0" w:color="auto"/>
        <w:right w:val="none" w:sz="0" w:space="0" w:color="auto"/>
      </w:divBdr>
      <w:divsChild>
        <w:div w:id="1801217314">
          <w:marLeft w:val="0"/>
          <w:marRight w:val="0"/>
          <w:marTop w:val="75"/>
          <w:marBottom w:val="0"/>
          <w:divBdr>
            <w:top w:val="none" w:sz="0" w:space="0" w:color="auto"/>
            <w:left w:val="none" w:sz="0" w:space="0" w:color="auto"/>
            <w:bottom w:val="none" w:sz="0" w:space="0" w:color="auto"/>
            <w:right w:val="none" w:sz="0" w:space="0" w:color="auto"/>
          </w:divBdr>
          <w:divsChild>
            <w:div w:id="1709718912">
              <w:marLeft w:val="0"/>
              <w:marRight w:val="0"/>
              <w:marTop w:val="0"/>
              <w:marBottom w:val="0"/>
              <w:divBdr>
                <w:top w:val="single" w:sz="6" w:space="8" w:color="CCCCCC"/>
                <w:left w:val="single" w:sz="6" w:space="11" w:color="CCCCCC"/>
                <w:bottom w:val="single" w:sz="18" w:space="19" w:color="999999"/>
                <w:right w:val="single" w:sz="18" w:space="8" w:color="999999"/>
              </w:divBdr>
              <w:divsChild>
                <w:div w:id="14482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56162">
      <w:bodyDiv w:val="1"/>
      <w:marLeft w:val="0"/>
      <w:marRight w:val="0"/>
      <w:marTop w:val="0"/>
      <w:marBottom w:val="0"/>
      <w:divBdr>
        <w:top w:val="none" w:sz="0" w:space="0" w:color="auto"/>
        <w:left w:val="none" w:sz="0" w:space="0" w:color="auto"/>
        <w:bottom w:val="none" w:sz="0" w:space="0" w:color="auto"/>
        <w:right w:val="none" w:sz="0" w:space="0" w:color="auto"/>
      </w:divBdr>
      <w:divsChild>
        <w:div w:id="1722902552">
          <w:marLeft w:val="0"/>
          <w:marRight w:val="0"/>
          <w:marTop w:val="75"/>
          <w:marBottom w:val="0"/>
          <w:divBdr>
            <w:top w:val="none" w:sz="0" w:space="0" w:color="auto"/>
            <w:left w:val="none" w:sz="0" w:space="0" w:color="auto"/>
            <w:bottom w:val="none" w:sz="0" w:space="0" w:color="auto"/>
            <w:right w:val="none" w:sz="0" w:space="0" w:color="auto"/>
          </w:divBdr>
          <w:divsChild>
            <w:div w:id="1107894070">
              <w:marLeft w:val="0"/>
              <w:marRight w:val="0"/>
              <w:marTop w:val="0"/>
              <w:marBottom w:val="0"/>
              <w:divBdr>
                <w:top w:val="single" w:sz="6" w:space="8" w:color="CCCCCC"/>
                <w:left w:val="single" w:sz="6" w:space="11" w:color="CCCCCC"/>
                <w:bottom w:val="single" w:sz="18" w:space="19" w:color="999999"/>
                <w:right w:val="single" w:sz="18" w:space="8" w:color="999999"/>
              </w:divBdr>
              <w:divsChild>
                <w:div w:id="20988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trixresources.proceduresonline.com/nat_key/keywords/significant_harm.htm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trixresources.proceduresonline.com/nat_key/keywords/sexual_abuse.html"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trixresources.proceduresonline.com/nat_key/keywords/physical_abuse.html" TargetMode="External" Id="rId10" /><Relationship Type="http://schemas.openxmlformats.org/officeDocument/2006/relationships/styles" Target="styles.xml" Id="rId4" /><Relationship Type="http://schemas.openxmlformats.org/officeDocument/2006/relationships/hyperlink" Target="https://www.nspcc.org.uk/services-and-resources/research-and-resources/2017/exploring-technology-assisted-harmful-sexual-behaviour/" TargetMode="External" Id="rId9" /><Relationship Type="http://schemas.openxmlformats.org/officeDocument/2006/relationships/footer" Target="footer1.xml" Id="rId14" /><Relationship Type="http://schemas.openxmlformats.org/officeDocument/2006/relationships/customXml" Target="/customXML/item3.xml" Id="Rf8842b682584447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A8445979</value>
    </field>
    <field name="Objective-Title">
      <value order="0">Harmful Sexual Behaviour Policy</value>
    </field>
    <field name="Objective-Description">
      <value order="0"/>
    </field>
    <field name="Objective-CreationStamp">
      <value order="0">2023-11-01T11:43:18Z</value>
    </field>
    <field name="Objective-IsApproved">
      <value order="0">false</value>
    </field>
    <field name="Objective-IsPublished">
      <value order="0">true</value>
    </field>
    <field name="Objective-DatePublished">
      <value order="0">2023-11-01T11:43:31Z</value>
    </field>
    <field name="Objective-ModificationStamp">
      <value order="0">2023-11-01T14:59:25Z</value>
    </field>
    <field name="Objective-Owner">
      <value order="0">Desmond, Joanne</value>
    </field>
    <field name="Objective-Path">
      <value order="0">Thurrock Global Folder:Thurrock Corporate File Plan:Management:Preparing Business:Business Support:Business Support Childrens.:Tri-X Polices</value>
    </field>
    <field name="Objective-Parent">
      <value order="0">Tri-X Polices</value>
    </field>
    <field name="Objective-State">
      <value order="0">Published</value>
    </field>
    <field name="Objective-VersionId">
      <value order="0">vA14044625</value>
    </field>
    <field name="Objective-Version">
      <value order="0">1.0</value>
    </field>
    <field name="Objective-VersionNumber">
      <value order="0">2</value>
    </field>
    <field name="Objective-VersionComment">
      <value order="0">Version 2</value>
    </field>
    <field name="Objective-FileNumber">
      <value order="0">qA484037</value>
    </field>
    <field name="Objective-Classification">
      <value order="0"/>
    </field>
    <field name="Objective-Caveats">
      <value order="0">Active Users</value>
    </field>
  </systemFields>
  <catalogues>
    <catalogue name="Document Type Catalogue" type="type" ori="id:cA147">
      <field name="Objective-Public Acces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0650A75-B819-4A24-B558-774B06A3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Devlin, Joseph</dc:creator>
  <cp:keywords/>
  <dc:description/>
  <cp:lastModifiedBy>Desmond, Joanne</cp:lastModifiedBy>
  <cp:revision>2</cp:revision>
  <dcterms:created xsi:type="dcterms:W3CDTF">2023-11-01T11:43:00Z</dcterms:created>
  <dcterms:modified xsi:type="dcterms:W3CDTF">2023-11-01T11:43:00Z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A8445979</vt:lpwstr>
  </property>
  <property fmtid="{D5CDD505-2E9C-101B-9397-08002B2CF9AE}" pid="4" name="Objective-Title">
    <vt:lpwstr>Harmful Sexual Behaviour Policy</vt:lpwstr>
  </property>
  <property fmtid="{D5CDD505-2E9C-101B-9397-08002B2CF9AE}" pid="5" name="Objective-Description">
    <vt:lpwstr/>
  </property>
  <property fmtid="{D5CDD505-2E9C-101B-9397-08002B2CF9AE}" pid="6" name="Objective-CreationStamp">
    <vt:filetime>2023-11-01T11:43:23Z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2023-11-01T11:43:31Z</vt:filetime>
  </property>
  <property fmtid="{D5CDD505-2E9C-101B-9397-08002B2CF9AE}" pid="10" name="Objective-ModificationStamp">
    <vt:filetime>2023-11-01T14:59:25Z</vt:filetime>
  </property>
  <property fmtid="{D5CDD505-2E9C-101B-9397-08002B2CF9AE}" pid="11" name="Objective-Owner">
    <vt:lpwstr>Desmond, Joanne</vt:lpwstr>
  </property>
  <property fmtid="{D5CDD505-2E9C-101B-9397-08002B2CF9AE}" pid="12" name="Objective-Path">
    <vt:lpwstr>Thurrock Global Folder:Thurrock Corporate File Plan:Management:Preparing Business:Business Support:Business Support Childrens.:Tri-X Polices:</vt:lpwstr>
  </property>
  <property fmtid="{D5CDD505-2E9C-101B-9397-08002B2CF9AE}" pid="13" name="Objective-Parent">
    <vt:lpwstr>Tri-X Polices</vt:lpwstr>
  </property>
  <property fmtid="{D5CDD505-2E9C-101B-9397-08002B2CF9AE}" pid="14" name="Objective-State">
    <vt:lpwstr>Published</vt:lpwstr>
  </property>
  <property fmtid="{D5CDD505-2E9C-101B-9397-08002B2CF9AE}" pid="15" name="Objective-VersionId">
    <vt:lpwstr>vA14044625</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qA484037</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y fmtid="{D5CDD505-2E9C-101B-9397-08002B2CF9AE}" pid="23" name="Objective-Public Access">
    <vt:lpwstr/>
  </property>
  <property fmtid="{D5CDD505-2E9C-101B-9397-08002B2CF9AE}" pid="24" name="Objective-Connect Creator">
    <vt:lpwstr/>
  </property>
</Properties>
</file>