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ED9" w:rsidRPr="003014B6" w:rsidRDefault="00523097">
      <w:pPr>
        <w:spacing w:after="0" w:line="267" w:lineRule="auto"/>
        <w:ind w:left="0" w:firstLine="0"/>
        <w:jc w:val="center"/>
        <w:rPr>
          <w:color w:val="000000" w:themeColor="text1"/>
          <w:u w:val="single"/>
        </w:rPr>
      </w:pPr>
      <w:r w:rsidRPr="003014B6">
        <w:rPr>
          <w:b/>
          <w:color w:val="000000" w:themeColor="text1"/>
          <w:sz w:val="28"/>
          <w:u w:val="single"/>
        </w:rPr>
        <w:t>South Yorkshire Children in Need</w:t>
      </w:r>
      <w:r w:rsidR="00106B0F" w:rsidRPr="003014B6">
        <w:rPr>
          <w:b/>
          <w:color w:val="000000" w:themeColor="text1"/>
          <w:sz w:val="28"/>
          <w:u w:val="single"/>
        </w:rPr>
        <w:t xml:space="preserve">/Subject to a </w:t>
      </w:r>
      <w:r w:rsidR="00CB0F61" w:rsidRPr="003014B6">
        <w:rPr>
          <w:b/>
          <w:color w:val="000000" w:themeColor="text1"/>
          <w:sz w:val="28"/>
          <w:u w:val="single"/>
        </w:rPr>
        <w:t xml:space="preserve">Child </w:t>
      </w:r>
      <w:r w:rsidR="00106B0F" w:rsidRPr="003014B6">
        <w:rPr>
          <w:b/>
          <w:color w:val="000000" w:themeColor="text1"/>
          <w:sz w:val="28"/>
          <w:u w:val="single"/>
        </w:rPr>
        <w:t>Protection Plan</w:t>
      </w:r>
      <w:r w:rsidRPr="003014B6">
        <w:rPr>
          <w:b/>
          <w:color w:val="000000" w:themeColor="text1"/>
          <w:sz w:val="28"/>
          <w:u w:val="single"/>
        </w:rPr>
        <w:t xml:space="preserve"> Moving </w:t>
      </w:r>
      <w:r w:rsidR="00266F6D" w:rsidRPr="003014B6">
        <w:rPr>
          <w:b/>
          <w:color w:val="000000" w:themeColor="text1"/>
          <w:sz w:val="28"/>
          <w:u w:val="single"/>
        </w:rPr>
        <w:t>Across</w:t>
      </w:r>
      <w:r w:rsidRPr="003014B6">
        <w:rPr>
          <w:b/>
          <w:color w:val="000000" w:themeColor="text1"/>
          <w:sz w:val="28"/>
          <w:u w:val="single"/>
        </w:rPr>
        <w:t xml:space="preserve"> Local Authority Boundaries Procedure </w:t>
      </w:r>
    </w:p>
    <w:p w:rsidR="00576ED9" w:rsidRPr="00C43C6A" w:rsidRDefault="00760C1B">
      <w:pPr>
        <w:spacing w:after="0" w:line="259" w:lineRule="auto"/>
        <w:ind w:left="0" w:firstLine="0"/>
        <w:rPr>
          <w:color w:val="000000" w:themeColor="text1"/>
        </w:rPr>
      </w:pPr>
      <w:r w:rsidRPr="00C43C6A">
        <w:rPr>
          <w:color w:val="000000" w:themeColor="text1"/>
          <w:sz w:val="28"/>
        </w:rPr>
        <w:t xml:space="preserve"> </w:t>
      </w:r>
    </w:p>
    <w:p w:rsidR="00576ED9" w:rsidRPr="00C43C6A" w:rsidRDefault="00760C1B">
      <w:pPr>
        <w:spacing w:after="9" w:line="259" w:lineRule="auto"/>
        <w:ind w:left="0" w:firstLine="0"/>
        <w:rPr>
          <w:color w:val="000000" w:themeColor="text1"/>
        </w:rPr>
      </w:pPr>
      <w:r w:rsidRPr="00C43C6A">
        <w:rPr>
          <w:b/>
          <w:color w:val="000000" w:themeColor="text1"/>
        </w:rPr>
        <w:t xml:space="preserve"> </w:t>
      </w:r>
    </w:p>
    <w:p w:rsidR="00576ED9" w:rsidRPr="00C43C6A" w:rsidRDefault="00760C1B">
      <w:pPr>
        <w:pStyle w:val="Heading1"/>
        <w:ind w:left="-5"/>
        <w:rPr>
          <w:color w:val="000000" w:themeColor="text1"/>
        </w:rPr>
      </w:pPr>
      <w:r w:rsidRPr="00C43C6A">
        <w:rPr>
          <w:color w:val="000000" w:themeColor="text1"/>
        </w:rPr>
        <w:t xml:space="preserve">Introduction </w:t>
      </w:r>
    </w:p>
    <w:p w:rsidR="00576ED9" w:rsidRPr="00C43C6A" w:rsidRDefault="00760C1B" w:rsidP="009133FB">
      <w:pPr>
        <w:spacing w:after="40" w:line="259" w:lineRule="auto"/>
        <w:ind w:left="0" w:firstLine="0"/>
        <w:jc w:val="both"/>
        <w:rPr>
          <w:color w:val="000000" w:themeColor="text1"/>
        </w:rPr>
      </w:pPr>
      <w:r w:rsidRPr="00C43C6A">
        <w:rPr>
          <w:color w:val="000000" w:themeColor="text1"/>
        </w:rPr>
        <w:t xml:space="preserve"> </w:t>
      </w:r>
    </w:p>
    <w:p w:rsidR="00576ED9" w:rsidRPr="00C43C6A" w:rsidRDefault="00760C1B" w:rsidP="009133FB">
      <w:pPr>
        <w:numPr>
          <w:ilvl w:val="0"/>
          <w:numId w:val="1"/>
        </w:numPr>
        <w:spacing w:after="30"/>
        <w:ind w:right="52" w:hanging="720"/>
        <w:jc w:val="both"/>
        <w:rPr>
          <w:color w:val="000000" w:themeColor="text1"/>
        </w:rPr>
      </w:pPr>
      <w:r w:rsidRPr="00C43C6A">
        <w:rPr>
          <w:color w:val="000000" w:themeColor="text1"/>
        </w:rPr>
        <w:t>This procedure is applicable</w:t>
      </w:r>
      <w:r w:rsidR="00266F6D">
        <w:rPr>
          <w:color w:val="000000" w:themeColor="text1"/>
        </w:rPr>
        <w:t>,</w:t>
      </w:r>
      <w:r w:rsidRPr="00C43C6A">
        <w:rPr>
          <w:color w:val="000000" w:themeColor="text1"/>
        </w:rPr>
        <w:t xml:space="preserve"> and the steps set out within should be taken</w:t>
      </w:r>
      <w:r w:rsidR="00266F6D">
        <w:rPr>
          <w:color w:val="000000" w:themeColor="text1"/>
        </w:rPr>
        <w:t>,</w:t>
      </w:r>
      <w:r w:rsidRPr="00C43C6A">
        <w:rPr>
          <w:color w:val="000000" w:themeColor="text1"/>
        </w:rPr>
        <w:t xml:space="preserve"> when the following circumstances exist in respect of a child: </w:t>
      </w:r>
    </w:p>
    <w:p w:rsidR="00576ED9" w:rsidRPr="00C43C6A" w:rsidRDefault="00760C1B" w:rsidP="009133FB">
      <w:pPr>
        <w:numPr>
          <w:ilvl w:val="1"/>
          <w:numId w:val="1"/>
        </w:numPr>
        <w:spacing w:after="36" w:line="262" w:lineRule="auto"/>
        <w:ind w:right="26" w:hanging="540"/>
        <w:jc w:val="both"/>
        <w:rPr>
          <w:color w:val="000000" w:themeColor="text1"/>
        </w:rPr>
      </w:pPr>
      <w:r w:rsidRPr="00C43C6A">
        <w:rPr>
          <w:color w:val="000000" w:themeColor="text1"/>
        </w:rPr>
        <w:t xml:space="preserve">the child is known to the Children’s Social Care service of one local authority area, </w:t>
      </w:r>
      <w:r w:rsidRPr="00C43C6A">
        <w:rPr>
          <w:b/>
          <w:color w:val="000000" w:themeColor="text1"/>
        </w:rPr>
        <w:t>and</w:t>
      </w:r>
      <w:r w:rsidRPr="00C43C6A">
        <w:rPr>
          <w:color w:val="000000" w:themeColor="text1"/>
        </w:rPr>
        <w:t xml:space="preserve"> </w:t>
      </w:r>
    </w:p>
    <w:p w:rsidR="00576ED9" w:rsidRPr="00C43C6A" w:rsidRDefault="00760C1B" w:rsidP="009133FB">
      <w:pPr>
        <w:numPr>
          <w:ilvl w:val="1"/>
          <w:numId w:val="1"/>
        </w:numPr>
        <w:ind w:right="26" w:hanging="540"/>
        <w:jc w:val="both"/>
        <w:rPr>
          <w:color w:val="000000" w:themeColor="text1"/>
        </w:rPr>
      </w:pPr>
      <w:r w:rsidRPr="00C43C6A">
        <w:rPr>
          <w:color w:val="000000" w:themeColor="text1"/>
        </w:rPr>
        <w:t>the child has moved to stay in another local authority area, whether on a permanent or temporary</w:t>
      </w:r>
      <w:r w:rsidRPr="00C43C6A">
        <w:rPr>
          <w:color w:val="000000" w:themeColor="text1"/>
          <w:vertAlign w:val="superscript"/>
        </w:rPr>
        <w:footnoteReference w:id="1"/>
      </w:r>
      <w:r w:rsidRPr="00C43C6A">
        <w:rPr>
          <w:color w:val="000000" w:themeColor="text1"/>
        </w:rPr>
        <w:t xml:space="preserve"> basis, or </w:t>
      </w:r>
    </w:p>
    <w:p w:rsidR="00576ED9" w:rsidRPr="00C43C6A" w:rsidRDefault="00760C1B" w:rsidP="009133FB">
      <w:pPr>
        <w:spacing w:after="20" w:line="259" w:lineRule="auto"/>
        <w:ind w:left="1260" w:firstLine="0"/>
        <w:jc w:val="both"/>
        <w:rPr>
          <w:color w:val="000000" w:themeColor="text1"/>
        </w:rPr>
      </w:pPr>
      <w:r w:rsidRPr="00C43C6A">
        <w:rPr>
          <w:color w:val="000000" w:themeColor="text1"/>
        </w:rPr>
        <w:t xml:space="preserve"> </w:t>
      </w:r>
    </w:p>
    <w:p w:rsidR="00576ED9" w:rsidRPr="00C43C6A" w:rsidRDefault="00760C1B" w:rsidP="009133FB">
      <w:pPr>
        <w:numPr>
          <w:ilvl w:val="0"/>
          <w:numId w:val="1"/>
        </w:numPr>
        <w:ind w:right="52" w:hanging="720"/>
        <w:jc w:val="both"/>
        <w:rPr>
          <w:color w:val="000000" w:themeColor="text1"/>
        </w:rPr>
      </w:pPr>
      <w:r w:rsidRPr="00C43C6A">
        <w:rPr>
          <w:color w:val="000000" w:themeColor="text1"/>
        </w:rPr>
        <w:t>Where any other agency is notified of a Child in Need</w:t>
      </w:r>
      <w:r w:rsidR="00E92A20" w:rsidRPr="00C43C6A">
        <w:rPr>
          <w:color w:val="000000" w:themeColor="text1"/>
        </w:rPr>
        <w:t xml:space="preserve">/Child Subject to a </w:t>
      </w:r>
      <w:r w:rsidR="002A6D44">
        <w:rPr>
          <w:color w:val="000000" w:themeColor="text1"/>
        </w:rPr>
        <w:t>C</w:t>
      </w:r>
      <w:r w:rsidR="00CB0F61" w:rsidRPr="00C43C6A">
        <w:rPr>
          <w:color w:val="000000" w:themeColor="text1"/>
        </w:rPr>
        <w:t xml:space="preserve">hild </w:t>
      </w:r>
      <w:r w:rsidR="002A6D44">
        <w:rPr>
          <w:color w:val="000000" w:themeColor="text1"/>
        </w:rPr>
        <w:t>P</w:t>
      </w:r>
      <w:r w:rsidR="00E92A20" w:rsidRPr="00C43C6A">
        <w:rPr>
          <w:color w:val="000000" w:themeColor="text1"/>
        </w:rPr>
        <w:t>rotection plan</w:t>
      </w:r>
      <w:r w:rsidRPr="00C43C6A">
        <w:rPr>
          <w:color w:val="000000" w:themeColor="text1"/>
        </w:rPr>
        <w:t xml:space="preserve"> that moves in or out of their area then they must make arrangements for information to be shared with/received from the equivalent agency in the other area</w:t>
      </w:r>
      <w:r w:rsidR="000C00D2" w:rsidRPr="00C43C6A">
        <w:rPr>
          <w:color w:val="000000" w:themeColor="text1"/>
        </w:rPr>
        <w:t>.</w:t>
      </w:r>
    </w:p>
    <w:p w:rsidR="000C00D2" w:rsidRPr="00C43C6A" w:rsidRDefault="000C00D2" w:rsidP="009133FB">
      <w:pPr>
        <w:ind w:left="720" w:right="52" w:firstLine="0"/>
        <w:jc w:val="both"/>
        <w:rPr>
          <w:color w:val="000000" w:themeColor="text1"/>
        </w:rPr>
      </w:pPr>
    </w:p>
    <w:p w:rsidR="00576ED9" w:rsidRPr="00C43C6A" w:rsidRDefault="00760C1B" w:rsidP="009133FB">
      <w:pPr>
        <w:numPr>
          <w:ilvl w:val="0"/>
          <w:numId w:val="1"/>
        </w:numPr>
        <w:ind w:right="52" w:hanging="720"/>
        <w:jc w:val="both"/>
        <w:rPr>
          <w:color w:val="000000" w:themeColor="text1"/>
        </w:rPr>
      </w:pPr>
      <w:r w:rsidRPr="00C43C6A">
        <w:rPr>
          <w:color w:val="000000" w:themeColor="text1"/>
        </w:rPr>
        <w:t xml:space="preserve">This procedure is intended to apply to a child and their brothers and sisters, including unborn children. </w:t>
      </w:r>
      <w:r w:rsidR="00266F6D">
        <w:rPr>
          <w:color w:val="000000" w:themeColor="text1"/>
        </w:rPr>
        <w:t>It applies to South Yorkshire local authorities.</w:t>
      </w:r>
      <w:r w:rsidRPr="00C43C6A">
        <w:rPr>
          <w:color w:val="000000" w:themeColor="text1"/>
        </w:rPr>
        <w:t xml:space="preserve"> </w:t>
      </w:r>
    </w:p>
    <w:p w:rsidR="00576ED9" w:rsidRPr="00C43C6A" w:rsidRDefault="00760C1B" w:rsidP="009133FB">
      <w:pPr>
        <w:spacing w:after="9" w:line="259" w:lineRule="auto"/>
        <w:ind w:left="0" w:firstLine="0"/>
        <w:jc w:val="both"/>
        <w:rPr>
          <w:color w:val="000000" w:themeColor="text1"/>
        </w:rPr>
      </w:pPr>
      <w:r w:rsidRPr="00C43C6A">
        <w:rPr>
          <w:color w:val="000000" w:themeColor="text1"/>
        </w:rPr>
        <w:t xml:space="preserve"> </w:t>
      </w:r>
    </w:p>
    <w:p w:rsidR="00576ED9" w:rsidRPr="00C43C6A" w:rsidRDefault="00760C1B" w:rsidP="009133FB">
      <w:pPr>
        <w:pStyle w:val="Heading1"/>
        <w:ind w:left="-5"/>
        <w:jc w:val="both"/>
        <w:rPr>
          <w:color w:val="000000" w:themeColor="text1"/>
        </w:rPr>
      </w:pPr>
      <w:r w:rsidRPr="00C43C6A">
        <w:rPr>
          <w:color w:val="000000" w:themeColor="text1"/>
        </w:rPr>
        <w:t xml:space="preserve">Initial Steps </w:t>
      </w:r>
    </w:p>
    <w:p w:rsidR="00576ED9" w:rsidRPr="00C43C6A" w:rsidRDefault="00760C1B" w:rsidP="009133FB">
      <w:pPr>
        <w:spacing w:after="40" w:line="259" w:lineRule="auto"/>
        <w:ind w:left="0" w:firstLine="0"/>
        <w:jc w:val="both"/>
        <w:rPr>
          <w:color w:val="000000" w:themeColor="text1"/>
        </w:rPr>
      </w:pPr>
      <w:r w:rsidRPr="00C43C6A">
        <w:rPr>
          <w:color w:val="000000" w:themeColor="text1"/>
        </w:rPr>
        <w:t xml:space="preserve"> </w:t>
      </w:r>
    </w:p>
    <w:p w:rsidR="00576ED9" w:rsidRPr="00C43C6A" w:rsidRDefault="00760C1B" w:rsidP="009133FB">
      <w:pPr>
        <w:numPr>
          <w:ilvl w:val="0"/>
          <w:numId w:val="2"/>
        </w:numPr>
        <w:ind w:right="52" w:hanging="360"/>
        <w:jc w:val="both"/>
        <w:rPr>
          <w:color w:val="000000" w:themeColor="text1"/>
        </w:rPr>
      </w:pPr>
      <w:r w:rsidRPr="00C43C6A">
        <w:rPr>
          <w:color w:val="000000" w:themeColor="text1"/>
        </w:rPr>
        <w:t xml:space="preserve">Notification of a Child in Need </w:t>
      </w:r>
      <w:r w:rsidR="00E92A20" w:rsidRPr="00C43C6A">
        <w:rPr>
          <w:color w:val="000000" w:themeColor="text1"/>
        </w:rPr>
        <w:t>/</w:t>
      </w:r>
      <w:r w:rsidR="002A6D44">
        <w:rPr>
          <w:color w:val="000000" w:themeColor="text1"/>
        </w:rPr>
        <w:t xml:space="preserve"> </w:t>
      </w:r>
      <w:r w:rsidR="00E92A20" w:rsidRPr="00C43C6A">
        <w:rPr>
          <w:color w:val="000000" w:themeColor="text1"/>
        </w:rPr>
        <w:t xml:space="preserve">Child </w:t>
      </w:r>
      <w:r w:rsidR="00CB0F61" w:rsidRPr="00C43C6A">
        <w:rPr>
          <w:color w:val="000000" w:themeColor="text1"/>
        </w:rPr>
        <w:t>Subject</w:t>
      </w:r>
      <w:r w:rsidR="00E92A20" w:rsidRPr="00C43C6A">
        <w:rPr>
          <w:color w:val="000000" w:themeColor="text1"/>
        </w:rPr>
        <w:t xml:space="preserve"> to a </w:t>
      </w:r>
      <w:r w:rsidR="002A6D44">
        <w:rPr>
          <w:color w:val="000000" w:themeColor="text1"/>
        </w:rPr>
        <w:t>C</w:t>
      </w:r>
      <w:r w:rsidR="00CB0F61" w:rsidRPr="00C43C6A">
        <w:rPr>
          <w:color w:val="000000" w:themeColor="text1"/>
        </w:rPr>
        <w:t xml:space="preserve">hild </w:t>
      </w:r>
      <w:r w:rsidR="002A6D44">
        <w:rPr>
          <w:color w:val="000000" w:themeColor="text1"/>
        </w:rPr>
        <w:t>P</w:t>
      </w:r>
      <w:r w:rsidR="00E92A20" w:rsidRPr="00C43C6A">
        <w:rPr>
          <w:color w:val="000000" w:themeColor="text1"/>
        </w:rPr>
        <w:t xml:space="preserve">rotection plan </w:t>
      </w:r>
      <w:r w:rsidRPr="00C43C6A">
        <w:rPr>
          <w:color w:val="000000" w:themeColor="text1"/>
        </w:rPr>
        <w:t xml:space="preserve">having moved/intending to move should be brought immediately to the attention of the receiving Local Authority Front Door, or Multi Agency Safeguarding Hub (MASH) in the area into which the child has moved. </w:t>
      </w:r>
      <w:r w:rsidR="002A6D44">
        <w:rPr>
          <w:color w:val="000000" w:themeColor="text1"/>
        </w:rPr>
        <w:t>A</w:t>
      </w:r>
      <w:r w:rsidR="00C66FA0" w:rsidRPr="00C43C6A">
        <w:rPr>
          <w:color w:val="000000" w:themeColor="text1"/>
        </w:rPr>
        <w:t>ll required information is sent through to the relevant MASH email address for triage</w:t>
      </w:r>
      <w:r w:rsidR="002A6D44">
        <w:rPr>
          <w:color w:val="000000" w:themeColor="text1"/>
        </w:rPr>
        <w:t>.</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C43C6A" w:rsidRDefault="00760C1B" w:rsidP="009133FB">
      <w:pPr>
        <w:numPr>
          <w:ilvl w:val="0"/>
          <w:numId w:val="2"/>
        </w:numPr>
        <w:ind w:right="52" w:hanging="360"/>
        <w:jc w:val="both"/>
        <w:rPr>
          <w:color w:val="000000" w:themeColor="text1"/>
        </w:rPr>
      </w:pPr>
      <w:r w:rsidRPr="00C43C6A">
        <w:rPr>
          <w:color w:val="000000" w:themeColor="text1"/>
        </w:rPr>
        <w:t xml:space="preserve">The Duty Manager in the </w:t>
      </w:r>
      <w:r w:rsidR="00C66FA0" w:rsidRPr="00C43C6A">
        <w:rPr>
          <w:color w:val="000000" w:themeColor="text1"/>
        </w:rPr>
        <w:t>MASH (or equivalent</w:t>
      </w:r>
      <w:r w:rsidR="000C00D2" w:rsidRPr="00C43C6A">
        <w:rPr>
          <w:color w:val="000000" w:themeColor="text1"/>
        </w:rPr>
        <w:t>)</w:t>
      </w:r>
      <w:r w:rsidR="00C66FA0" w:rsidRPr="00C43C6A">
        <w:rPr>
          <w:color w:val="000000" w:themeColor="text1"/>
        </w:rPr>
        <w:t xml:space="preserve"> in the </w:t>
      </w:r>
      <w:r w:rsidRPr="00C43C6A">
        <w:rPr>
          <w:color w:val="000000" w:themeColor="text1"/>
        </w:rPr>
        <w:t xml:space="preserve">receiving Local Authority area should consult records to see whether the child was previously known to services in their area. </w:t>
      </w:r>
    </w:p>
    <w:p w:rsidR="00576ED9" w:rsidRPr="00C43C6A" w:rsidRDefault="00760C1B" w:rsidP="009133FB">
      <w:pPr>
        <w:spacing w:after="38" w:line="259" w:lineRule="auto"/>
        <w:ind w:left="360" w:firstLine="0"/>
        <w:jc w:val="both"/>
        <w:rPr>
          <w:color w:val="000000" w:themeColor="text1"/>
        </w:rPr>
      </w:pPr>
      <w:r w:rsidRPr="00C43C6A">
        <w:rPr>
          <w:color w:val="000000" w:themeColor="text1"/>
        </w:rPr>
        <w:t xml:space="preserve"> </w:t>
      </w:r>
    </w:p>
    <w:p w:rsidR="00D31D53" w:rsidRDefault="00760C1B" w:rsidP="00045B49">
      <w:pPr>
        <w:numPr>
          <w:ilvl w:val="0"/>
          <w:numId w:val="2"/>
        </w:numPr>
        <w:spacing w:after="40" w:line="259" w:lineRule="auto"/>
        <w:ind w:left="454" w:right="52" w:hanging="454"/>
        <w:jc w:val="both"/>
        <w:rPr>
          <w:color w:val="000000" w:themeColor="text1"/>
        </w:rPr>
      </w:pPr>
      <w:r w:rsidRPr="00D31D53">
        <w:rPr>
          <w:color w:val="000000" w:themeColor="text1"/>
        </w:rPr>
        <w:t xml:space="preserve">The </w:t>
      </w:r>
      <w:r w:rsidR="00C66FA0" w:rsidRPr="00D31D53">
        <w:rPr>
          <w:color w:val="000000" w:themeColor="text1"/>
        </w:rPr>
        <w:t>MASH Manager should</w:t>
      </w:r>
      <w:r w:rsidRPr="00D31D53">
        <w:rPr>
          <w:color w:val="000000" w:themeColor="text1"/>
        </w:rPr>
        <w:t xml:space="preserve"> telephone the relevant Social Care office in the referring Local Authority area and discuss the case with the team manager in order to determine whether any immediate action is necessary</w:t>
      </w:r>
      <w:r w:rsidR="00D31D53" w:rsidRPr="00D31D53">
        <w:rPr>
          <w:color w:val="000000" w:themeColor="text1"/>
        </w:rPr>
        <w:t>. The contact details for each relevant MASH and their Service Manager will be shared quarterly through the Principal Social Worker.</w:t>
      </w:r>
    </w:p>
    <w:p w:rsidR="00D31D53" w:rsidRDefault="00D31D53" w:rsidP="00D31D53">
      <w:pPr>
        <w:pStyle w:val="ListParagraph"/>
        <w:rPr>
          <w:color w:val="000000" w:themeColor="text1"/>
        </w:rPr>
      </w:pPr>
    </w:p>
    <w:p w:rsidR="00E926BB" w:rsidRDefault="00760C1B" w:rsidP="00E926BB">
      <w:pPr>
        <w:numPr>
          <w:ilvl w:val="0"/>
          <w:numId w:val="2"/>
        </w:numPr>
        <w:ind w:right="52" w:hanging="360"/>
        <w:jc w:val="both"/>
        <w:rPr>
          <w:color w:val="000000" w:themeColor="text1"/>
        </w:rPr>
      </w:pPr>
      <w:r w:rsidRPr="00266869">
        <w:rPr>
          <w:color w:val="000000" w:themeColor="text1"/>
        </w:rPr>
        <w:t>If following this initial enquiry there is an indication that a child or children is/are at immediate risk of significant harm, the relevant Child Protection procedures should be followed. Both the referring and receiving authority should be involved with this</w:t>
      </w:r>
      <w:r w:rsidR="00C66FA0" w:rsidRPr="00266869">
        <w:rPr>
          <w:color w:val="000000" w:themeColor="text1"/>
        </w:rPr>
        <w:t xml:space="preserve">. The strategy discussion should be convened by the </w:t>
      </w:r>
      <w:r w:rsidR="00762387" w:rsidRPr="00266869">
        <w:rPr>
          <w:color w:val="000000" w:themeColor="text1"/>
        </w:rPr>
        <w:t xml:space="preserve">authority </w:t>
      </w:r>
      <w:r w:rsidR="000C00D2" w:rsidRPr="00266869">
        <w:rPr>
          <w:color w:val="000000" w:themeColor="text1"/>
        </w:rPr>
        <w:t xml:space="preserve">where the harm occurred </w:t>
      </w:r>
      <w:r w:rsidR="00762387" w:rsidRPr="00266869">
        <w:rPr>
          <w:color w:val="000000" w:themeColor="text1"/>
        </w:rPr>
        <w:t>and</w:t>
      </w:r>
      <w:r w:rsidR="00C66FA0" w:rsidRPr="00266869">
        <w:rPr>
          <w:color w:val="000000" w:themeColor="text1"/>
        </w:rPr>
        <w:t xml:space="preserve"> agree which authority takes the lead beyond this</w:t>
      </w:r>
      <w:r w:rsidR="00266869" w:rsidRPr="00266869">
        <w:rPr>
          <w:color w:val="000000" w:themeColor="text1"/>
        </w:rPr>
        <w:t>.</w:t>
      </w:r>
    </w:p>
    <w:p w:rsidR="00045B49" w:rsidRDefault="00045B49" w:rsidP="00045B49">
      <w:pPr>
        <w:pStyle w:val="ListParagraph"/>
        <w:rPr>
          <w:color w:val="000000" w:themeColor="text1"/>
        </w:rPr>
      </w:pPr>
    </w:p>
    <w:p w:rsidR="00045B49" w:rsidRPr="003014B6" w:rsidRDefault="00045B49" w:rsidP="00E926BB">
      <w:pPr>
        <w:numPr>
          <w:ilvl w:val="0"/>
          <w:numId w:val="2"/>
        </w:numPr>
        <w:ind w:right="52" w:hanging="360"/>
        <w:jc w:val="both"/>
        <w:rPr>
          <w:color w:val="000000" w:themeColor="text1"/>
        </w:rPr>
      </w:pPr>
      <w:r w:rsidRPr="003014B6">
        <w:rPr>
          <w:color w:val="000000" w:themeColor="text1"/>
        </w:rPr>
        <w:t>Where a decision is made to seek legal advice, whether to initiate pre-proceedings or make any application to Court, this should be led by the referring Local Authority without delay. If an application to Court is made, it is likely that the receiving Local Authority will be given notice if there are grounds to believe that an order may be designated to the receiving Local Authority. The receiving Local Authority and referring Local Authority should closely liaise with a focus on the outcomes for the children as the primary concern.</w:t>
      </w:r>
    </w:p>
    <w:p w:rsidR="00E926BB" w:rsidRPr="00C43C6A" w:rsidRDefault="00E926BB" w:rsidP="00E926BB">
      <w:pPr>
        <w:ind w:left="360" w:right="52" w:firstLine="0"/>
        <w:jc w:val="both"/>
        <w:rPr>
          <w:color w:val="000000" w:themeColor="text1"/>
        </w:rPr>
      </w:pPr>
    </w:p>
    <w:p w:rsidR="00576ED9" w:rsidRPr="00C43C6A" w:rsidRDefault="00760C1B" w:rsidP="009133FB">
      <w:pPr>
        <w:numPr>
          <w:ilvl w:val="0"/>
          <w:numId w:val="2"/>
        </w:numPr>
        <w:spacing w:after="28"/>
        <w:ind w:right="52" w:hanging="360"/>
        <w:jc w:val="both"/>
        <w:rPr>
          <w:color w:val="000000" w:themeColor="text1"/>
        </w:rPr>
      </w:pPr>
      <w:r w:rsidRPr="00C43C6A">
        <w:rPr>
          <w:color w:val="000000" w:themeColor="text1"/>
        </w:rPr>
        <w:t xml:space="preserve">If a child or children is/are not at immediate risk of significant harm the </w:t>
      </w:r>
      <w:r w:rsidR="00E92A20" w:rsidRPr="00C43C6A">
        <w:rPr>
          <w:color w:val="000000" w:themeColor="text1"/>
        </w:rPr>
        <w:t xml:space="preserve">MASH </w:t>
      </w:r>
      <w:r w:rsidRPr="00C43C6A">
        <w:rPr>
          <w:color w:val="000000" w:themeColor="text1"/>
        </w:rPr>
        <w:t xml:space="preserve">Manager should request that the referring Local Authority provides a case transfer summary accompanied by copies of any Child Protection Plans or Child in Need Plans that have existed for the child/ren and minutes of the most recent meetings. As a minimum this will include: </w:t>
      </w:r>
    </w:p>
    <w:p w:rsidR="00576ED9" w:rsidRPr="00C43C6A" w:rsidRDefault="00760C1B" w:rsidP="009133FB">
      <w:pPr>
        <w:numPr>
          <w:ilvl w:val="1"/>
          <w:numId w:val="2"/>
        </w:numPr>
        <w:spacing w:after="30"/>
        <w:ind w:right="52" w:hanging="586"/>
        <w:jc w:val="both"/>
        <w:rPr>
          <w:color w:val="000000" w:themeColor="text1"/>
        </w:rPr>
      </w:pPr>
      <w:r w:rsidRPr="00C43C6A">
        <w:rPr>
          <w:color w:val="000000" w:themeColor="text1"/>
        </w:rPr>
        <w:t xml:space="preserve">Full details of the child – name, </w:t>
      </w:r>
      <w:r w:rsidR="00360605" w:rsidRPr="00C43C6A">
        <w:rPr>
          <w:color w:val="000000" w:themeColor="text1"/>
        </w:rPr>
        <w:t>DOB, current</w:t>
      </w:r>
      <w:r w:rsidRPr="00C43C6A">
        <w:rPr>
          <w:color w:val="000000" w:themeColor="text1"/>
        </w:rPr>
        <w:t xml:space="preserve"> address and planned address gender, ethnicity </w:t>
      </w:r>
    </w:p>
    <w:p w:rsidR="00576ED9" w:rsidRPr="00C43C6A" w:rsidRDefault="00760C1B" w:rsidP="009133FB">
      <w:pPr>
        <w:numPr>
          <w:ilvl w:val="1"/>
          <w:numId w:val="2"/>
        </w:numPr>
        <w:spacing w:after="31"/>
        <w:ind w:right="52" w:hanging="586"/>
        <w:jc w:val="both"/>
        <w:rPr>
          <w:color w:val="000000" w:themeColor="text1"/>
        </w:rPr>
      </w:pPr>
      <w:r w:rsidRPr="00C43C6A">
        <w:rPr>
          <w:color w:val="000000" w:themeColor="text1"/>
        </w:rPr>
        <w:t xml:space="preserve">Details of any brothers or sisters– names, DOB, current address and planned address, gender, ethnicity </w:t>
      </w:r>
    </w:p>
    <w:p w:rsidR="00576ED9" w:rsidRPr="00721BD2" w:rsidRDefault="00760C1B" w:rsidP="009133FB">
      <w:pPr>
        <w:numPr>
          <w:ilvl w:val="1"/>
          <w:numId w:val="2"/>
        </w:numPr>
        <w:spacing w:after="28"/>
        <w:ind w:right="52" w:hanging="586"/>
        <w:jc w:val="both"/>
        <w:rPr>
          <w:color w:val="000000" w:themeColor="text1"/>
        </w:rPr>
      </w:pPr>
      <w:r w:rsidRPr="00721BD2">
        <w:rPr>
          <w:color w:val="000000" w:themeColor="text1"/>
        </w:rPr>
        <w:t xml:space="preserve">Details of Parents and/or carers – names, DOB, current address and planned address, gender, </w:t>
      </w:r>
      <w:r w:rsidR="00360605" w:rsidRPr="00721BD2">
        <w:rPr>
          <w:color w:val="000000" w:themeColor="text1"/>
        </w:rPr>
        <w:t>ethnicity and</w:t>
      </w:r>
      <w:r w:rsidR="00C66FA0" w:rsidRPr="00721BD2">
        <w:rPr>
          <w:color w:val="000000" w:themeColor="text1"/>
        </w:rPr>
        <w:t xml:space="preserve"> the basis on which it is believed that the move is permanent  </w:t>
      </w:r>
    </w:p>
    <w:p w:rsidR="00576ED9" w:rsidRPr="00C43C6A" w:rsidRDefault="00760C1B" w:rsidP="009133FB">
      <w:pPr>
        <w:numPr>
          <w:ilvl w:val="1"/>
          <w:numId w:val="2"/>
        </w:numPr>
        <w:spacing w:after="32"/>
        <w:ind w:right="52" w:hanging="586"/>
        <w:jc w:val="both"/>
        <w:rPr>
          <w:color w:val="000000" w:themeColor="text1"/>
        </w:rPr>
      </w:pPr>
      <w:r w:rsidRPr="00C43C6A">
        <w:rPr>
          <w:color w:val="000000" w:themeColor="text1"/>
        </w:rPr>
        <w:t xml:space="preserve">Background information relating to the </w:t>
      </w:r>
      <w:r w:rsidR="00360605" w:rsidRPr="00C43C6A">
        <w:rPr>
          <w:color w:val="000000" w:themeColor="text1"/>
        </w:rPr>
        <w:t>case: -</w:t>
      </w:r>
      <w:r w:rsidRPr="00C43C6A">
        <w:rPr>
          <w:color w:val="000000" w:themeColor="text1"/>
        </w:rPr>
        <w:t xml:space="preserve"> </w:t>
      </w:r>
    </w:p>
    <w:p w:rsidR="00576ED9" w:rsidRPr="00C43C6A" w:rsidRDefault="00762387" w:rsidP="009133FB">
      <w:pPr>
        <w:numPr>
          <w:ilvl w:val="2"/>
          <w:numId w:val="2"/>
        </w:numPr>
        <w:spacing w:after="32"/>
        <w:ind w:right="52" w:hanging="360"/>
        <w:jc w:val="both"/>
        <w:rPr>
          <w:color w:val="000000" w:themeColor="text1"/>
        </w:rPr>
      </w:pPr>
      <w:r w:rsidRPr="00C43C6A">
        <w:rPr>
          <w:color w:val="000000" w:themeColor="text1"/>
        </w:rPr>
        <w:t xml:space="preserve">Status of the plan and the reason </w:t>
      </w:r>
      <w:r w:rsidR="00760C1B" w:rsidRPr="00C43C6A">
        <w:rPr>
          <w:color w:val="000000" w:themeColor="text1"/>
        </w:rPr>
        <w:t xml:space="preserve">for the </w:t>
      </w:r>
      <w:r w:rsidR="00266869">
        <w:rPr>
          <w:color w:val="000000" w:themeColor="text1"/>
        </w:rPr>
        <w:t>p</w:t>
      </w:r>
      <w:r w:rsidR="00760C1B" w:rsidRPr="00C43C6A">
        <w:rPr>
          <w:color w:val="000000" w:themeColor="text1"/>
        </w:rPr>
        <w:t xml:space="preserve">lan </w:t>
      </w:r>
    </w:p>
    <w:p w:rsidR="00576ED9" w:rsidRPr="00C43C6A" w:rsidRDefault="00760C1B" w:rsidP="009133FB">
      <w:pPr>
        <w:numPr>
          <w:ilvl w:val="2"/>
          <w:numId w:val="2"/>
        </w:numPr>
        <w:spacing w:after="32"/>
        <w:ind w:right="52" w:hanging="360"/>
        <w:jc w:val="both"/>
        <w:rPr>
          <w:color w:val="000000" w:themeColor="text1"/>
        </w:rPr>
      </w:pPr>
      <w:r w:rsidRPr="00C43C6A">
        <w:rPr>
          <w:color w:val="000000" w:themeColor="text1"/>
        </w:rPr>
        <w:t xml:space="preserve">Information about the needs identified </w:t>
      </w:r>
    </w:p>
    <w:p w:rsidR="00576ED9" w:rsidRPr="00C43C6A" w:rsidRDefault="00760C1B" w:rsidP="009133FB">
      <w:pPr>
        <w:numPr>
          <w:ilvl w:val="2"/>
          <w:numId w:val="2"/>
        </w:numPr>
        <w:spacing w:after="32"/>
        <w:ind w:right="52" w:hanging="360"/>
        <w:jc w:val="both"/>
        <w:rPr>
          <w:color w:val="000000" w:themeColor="text1"/>
        </w:rPr>
      </w:pPr>
      <w:r w:rsidRPr="00C43C6A">
        <w:rPr>
          <w:color w:val="000000" w:themeColor="text1"/>
        </w:rPr>
        <w:t xml:space="preserve">Length of time the child has been the subject of a social </w:t>
      </w:r>
      <w:r w:rsidR="009F0591">
        <w:rPr>
          <w:color w:val="000000" w:themeColor="text1"/>
        </w:rPr>
        <w:t>care</w:t>
      </w:r>
      <w:r w:rsidRPr="00C43C6A">
        <w:rPr>
          <w:color w:val="000000" w:themeColor="text1"/>
        </w:rPr>
        <w:t xml:space="preserve"> involvement </w:t>
      </w:r>
    </w:p>
    <w:p w:rsidR="00576ED9" w:rsidRPr="00C43C6A" w:rsidRDefault="00760C1B" w:rsidP="009133FB">
      <w:pPr>
        <w:numPr>
          <w:ilvl w:val="2"/>
          <w:numId w:val="2"/>
        </w:numPr>
        <w:spacing w:after="30"/>
        <w:ind w:right="52" w:hanging="360"/>
        <w:jc w:val="both"/>
        <w:rPr>
          <w:color w:val="000000" w:themeColor="text1"/>
        </w:rPr>
      </w:pPr>
      <w:r w:rsidRPr="00C43C6A">
        <w:rPr>
          <w:color w:val="000000" w:themeColor="text1"/>
        </w:rPr>
        <w:t>Overview of the historical involvement with the child and their family, including any history of previous CIN and/or child protection planning,</w:t>
      </w:r>
      <w:r w:rsidR="00762387" w:rsidRPr="00C43C6A">
        <w:rPr>
          <w:color w:val="000000" w:themeColor="text1"/>
        </w:rPr>
        <w:t xml:space="preserve"> Legal Planning meetings, PLO/Care Proceedings</w:t>
      </w:r>
      <w:r w:rsidR="00360605">
        <w:rPr>
          <w:color w:val="000000" w:themeColor="text1"/>
        </w:rPr>
        <w:t>,</w:t>
      </w:r>
      <w:r w:rsidRPr="00C43C6A">
        <w:rPr>
          <w:color w:val="000000" w:themeColor="text1"/>
        </w:rPr>
        <w:t xml:space="preserve"> previous adoptions in the family or previous periods of being </w:t>
      </w:r>
      <w:r w:rsidR="00360605">
        <w:rPr>
          <w:color w:val="000000" w:themeColor="text1"/>
        </w:rPr>
        <w:t>a c</w:t>
      </w:r>
      <w:r w:rsidRPr="00C43C6A">
        <w:rPr>
          <w:color w:val="000000" w:themeColor="text1"/>
        </w:rPr>
        <w:t>hild</w:t>
      </w:r>
      <w:r w:rsidR="00360605">
        <w:rPr>
          <w:color w:val="000000" w:themeColor="text1"/>
        </w:rPr>
        <w:t xml:space="preserve"> in care</w:t>
      </w:r>
      <w:r w:rsidRPr="00C43C6A">
        <w:rPr>
          <w:color w:val="000000" w:themeColor="text1"/>
        </w:rPr>
        <w:t xml:space="preserve">. </w:t>
      </w:r>
    </w:p>
    <w:p w:rsidR="00576ED9" w:rsidRPr="00C43C6A" w:rsidRDefault="00760C1B" w:rsidP="009133FB">
      <w:pPr>
        <w:numPr>
          <w:ilvl w:val="2"/>
          <w:numId w:val="2"/>
        </w:numPr>
        <w:spacing w:after="30"/>
        <w:ind w:right="52" w:hanging="360"/>
        <w:jc w:val="both"/>
        <w:rPr>
          <w:color w:val="000000" w:themeColor="text1"/>
        </w:rPr>
      </w:pPr>
      <w:r w:rsidRPr="00C43C6A">
        <w:rPr>
          <w:color w:val="000000" w:themeColor="text1"/>
        </w:rPr>
        <w:t xml:space="preserve">Assessment and intervention work undertaken, specifically including risk of and/or specialist multi-agency intervention pertaining to complex/contextual exploitation or children missing from home, care or education. </w:t>
      </w:r>
      <w:r w:rsidR="00762387" w:rsidRPr="00C43C6A">
        <w:rPr>
          <w:color w:val="000000" w:themeColor="text1"/>
        </w:rPr>
        <w:t xml:space="preserve">If the assessment was last updated three months or longer before the </w:t>
      </w:r>
      <w:r w:rsidR="00360605" w:rsidRPr="00C43C6A">
        <w:rPr>
          <w:color w:val="000000" w:themeColor="text1"/>
        </w:rPr>
        <w:t>transfer,</w:t>
      </w:r>
      <w:r w:rsidR="00762387" w:rsidRPr="00C43C6A">
        <w:rPr>
          <w:color w:val="000000" w:themeColor="text1"/>
        </w:rPr>
        <w:t xml:space="preserve"> then the transferring authority will update this prior to formal transfer. </w:t>
      </w:r>
    </w:p>
    <w:p w:rsidR="00576ED9" w:rsidRPr="00C43C6A" w:rsidRDefault="00760C1B" w:rsidP="009133FB">
      <w:pPr>
        <w:numPr>
          <w:ilvl w:val="2"/>
          <w:numId w:val="2"/>
        </w:numPr>
        <w:ind w:right="52" w:hanging="360"/>
        <w:jc w:val="both"/>
        <w:rPr>
          <w:color w:val="000000" w:themeColor="text1"/>
        </w:rPr>
      </w:pPr>
      <w:r w:rsidRPr="00C43C6A">
        <w:rPr>
          <w:color w:val="000000" w:themeColor="text1"/>
        </w:rPr>
        <w:t>The organisations contributing to the plan</w:t>
      </w:r>
      <w:r w:rsidR="00266869">
        <w:rPr>
          <w:color w:val="000000" w:themeColor="text1"/>
        </w:rPr>
        <w:t>.</w:t>
      </w:r>
    </w:p>
    <w:p w:rsidR="00576ED9" w:rsidRPr="00C43C6A" w:rsidRDefault="00760C1B" w:rsidP="009133FB">
      <w:pPr>
        <w:numPr>
          <w:ilvl w:val="1"/>
          <w:numId w:val="2"/>
        </w:numPr>
        <w:ind w:right="52" w:hanging="586"/>
        <w:jc w:val="both"/>
        <w:rPr>
          <w:color w:val="000000" w:themeColor="text1"/>
        </w:rPr>
      </w:pPr>
      <w:r w:rsidRPr="00C43C6A">
        <w:rPr>
          <w:color w:val="000000" w:themeColor="text1"/>
        </w:rPr>
        <w:t xml:space="preserve">The planned outcomes for the child. </w:t>
      </w:r>
    </w:p>
    <w:p w:rsidR="00576ED9" w:rsidRPr="00C43C6A" w:rsidRDefault="00760C1B" w:rsidP="009133FB">
      <w:pPr>
        <w:numPr>
          <w:ilvl w:val="1"/>
          <w:numId w:val="2"/>
        </w:numPr>
        <w:ind w:right="52" w:hanging="586"/>
        <w:jc w:val="both"/>
        <w:rPr>
          <w:color w:val="000000" w:themeColor="text1"/>
        </w:rPr>
      </w:pPr>
      <w:r w:rsidRPr="00C43C6A">
        <w:rPr>
          <w:color w:val="000000" w:themeColor="text1"/>
        </w:rPr>
        <w:t xml:space="preserve">Details of the previous social worker and professionals working with the family. </w:t>
      </w:r>
      <w:r w:rsidR="00762387" w:rsidRPr="00C43C6A">
        <w:rPr>
          <w:color w:val="000000" w:themeColor="text1"/>
        </w:rPr>
        <w:t xml:space="preserve">The referring authority should notify the agencies working with the family about the move and should undertake agency checks </w:t>
      </w:r>
      <w:r w:rsidR="00704F6D" w:rsidRPr="00C43C6A">
        <w:rPr>
          <w:color w:val="000000" w:themeColor="text1"/>
        </w:rPr>
        <w:t xml:space="preserve">to </w:t>
      </w:r>
      <w:r w:rsidR="00762387" w:rsidRPr="00C43C6A">
        <w:rPr>
          <w:color w:val="000000" w:themeColor="text1"/>
        </w:rPr>
        <w:t xml:space="preserve">explore whether the move increases the child’s vulnerability. If as a consequence of this a strategy discussion is </w:t>
      </w:r>
      <w:r w:rsidR="00360605" w:rsidRPr="00C43C6A">
        <w:rPr>
          <w:color w:val="000000" w:themeColor="text1"/>
        </w:rPr>
        <w:t>required,</w:t>
      </w:r>
      <w:r w:rsidR="00762387" w:rsidRPr="00C43C6A">
        <w:rPr>
          <w:color w:val="000000" w:themeColor="text1"/>
        </w:rPr>
        <w:t xml:space="preserve"> please refer to paragraph 7 above. </w:t>
      </w:r>
    </w:p>
    <w:p w:rsidR="00576ED9" w:rsidRPr="00C43C6A" w:rsidRDefault="00760C1B" w:rsidP="009133FB">
      <w:pPr>
        <w:spacing w:after="40" w:line="259" w:lineRule="auto"/>
        <w:ind w:left="0" w:firstLine="0"/>
        <w:jc w:val="both"/>
        <w:rPr>
          <w:color w:val="000000" w:themeColor="text1"/>
        </w:rPr>
      </w:pPr>
      <w:r w:rsidRPr="00C43C6A">
        <w:rPr>
          <w:color w:val="000000" w:themeColor="text1"/>
        </w:rPr>
        <w:t xml:space="preserve"> </w:t>
      </w:r>
    </w:p>
    <w:p w:rsidR="00576ED9" w:rsidRPr="00C43C6A" w:rsidRDefault="00760C1B" w:rsidP="009133FB">
      <w:pPr>
        <w:numPr>
          <w:ilvl w:val="0"/>
          <w:numId w:val="2"/>
        </w:numPr>
        <w:ind w:right="52" w:hanging="360"/>
        <w:jc w:val="both"/>
        <w:rPr>
          <w:color w:val="000000" w:themeColor="text1"/>
        </w:rPr>
      </w:pPr>
      <w:r w:rsidRPr="00C43C6A">
        <w:rPr>
          <w:color w:val="000000" w:themeColor="text1"/>
        </w:rPr>
        <w:t xml:space="preserve">This information should enable the receiving Local Authority to gain an up to date understanding of the case, and all attempts to ensure that this information is current should be made by the referring Authority. Any recent significant changes for the family should be captured, assessed and analysed by the referring authority as part of its own case management process. This includes an expectation that a family’s recent move to a new area has been assessed as part of the referring authorities work with the family. Where good quality information is received about </w:t>
      </w:r>
      <w:r w:rsidR="00704F6D" w:rsidRPr="00C43C6A">
        <w:rPr>
          <w:color w:val="000000" w:themeColor="text1"/>
        </w:rPr>
        <w:t xml:space="preserve">the </w:t>
      </w:r>
      <w:r w:rsidRPr="00C43C6A">
        <w:rPr>
          <w:color w:val="000000" w:themeColor="text1"/>
        </w:rPr>
        <w:t xml:space="preserve">child and their circumstances this will enable the receiving authority to be confident in their decision- making and ensure there is no drift or delay in achieving positive outcomes for the child.  The receiving Local Authority can ask for further clarity on information where the Assessment, Plan and Minutes does not enable such understanding. </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C43C6A" w:rsidRDefault="00760C1B" w:rsidP="009133FB">
      <w:pPr>
        <w:numPr>
          <w:ilvl w:val="0"/>
          <w:numId w:val="2"/>
        </w:numPr>
        <w:ind w:right="52" w:hanging="360"/>
        <w:jc w:val="both"/>
        <w:rPr>
          <w:color w:val="000000" w:themeColor="text1"/>
        </w:rPr>
      </w:pPr>
      <w:r w:rsidRPr="00C43C6A">
        <w:rPr>
          <w:color w:val="000000" w:themeColor="text1"/>
        </w:rPr>
        <w:t>An email confirming this request should be sent to the referring Local Authority within 2 working days</w:t>
      </w:r>
      <w:r w:rsidR="0049718E" w:rsidRPr="00C43C6A">
        <w:rPr>
          <w:color w:val="000000" w:themeColor="text1"/>
        </w:rPr>
        <w:t xml:space="preserve"> of the need for additional information being identified</w:t>
      </w:r>
      <w:r w:rsidRPr="00C43C6A">
        <w:rPr>
          <w:color w:val="000000" w:themeColor="text1"/>
        </w:rPr>
        <w:t xml:space="preserve">. The request should state that the case transfer summary and copies of documents, as in paragraph 8 is required in order to allocate the case.  </w:t>
      </w:r>
    </w:p>
    <w:p w:rsidR="00576ED9" w:rsidRPr="00C43C6A" w:rsidRDefault="00760C1B" w:rsidP="009133FB">
      <w:pPr>
        <w:spacing w:after="0" w:line="259" w:lineRule="auto"/>
        <w:ind w:left="360" w:firstLine="0"/>
        <w:jc w:val="both"/>
        <w:rPr>
          <w:color w:val="000000" w:themeColor="text1"/>
        </w:rPr>
      </w:pPr>
      <w:r w:rsidRPr="00C43C6A">
        <w:rPr>
          <w:color w:val="000000" w:themeColor="text1"/>
        </w:rPr>
        <w:t xml:space="preserve"> </w:t>
      </w:r>
    </w:p>
    <w:p w:rsidR="00576ED9" w:rsidRPr="00C43C6A" w:rsidRDefault="00760C1B" w:rsidP="009133FB">
      <w:pPr>
        <w:numPr>
          <w:ilvl w:val="0"/>
          <w:numId w:val="2"/>
        </w:numPr>
        <w:ind w:right="52" w:hanging="360"/>
        <w:jc w:val="both"/>
        <w:rPr>
          <w:color w:val="000000" w:themeColor="text1"/>
        </w:rPr>
      </w:pPr>
      <w:r w:rsidRPr="00C43C6A">
        <w:rPr>
          <w:color w:val="000000" w:themeColor="text1"/>
        </w:rPr>
        <w:t>In the event that the referring Local Authority does not provide written information about the child or children within the above timescales, a further email should be sent from the Service Manager (receiving Local Authority) to the Service Manager in the referring Local Authority, requesting the information is supplied immediately</w:t>
      </w:r>
      <w:r w:rsidR="0049718E" w:rsidRPr="00C43C6A">
        <w:rPr>
          <w:color w:val="000000" w:themeColor="text1"/>
        </w:rPr>
        <w:t xml:space="preserve"> on this being identified</w:t>
      </w:r>
      <w:r w:rsidRPr="00C43C6A">
        <w:rPr>
          <w:color w:val="000000" w:themeColor="text1"/>
        </w:rPr>
        <w:t xml:space="preserve">. The steps outlined in the appended dispute resolution process should be followed, and it is expected that drift for children is avoided at all costs.  </w:t>
      </w:r>
    </w:p>
    <w:p w:rsidR="00576ED9" w:rsidRPr="00C43C6A" w:rsidRDefault="00760C1B" w:rsidP="009133FB">
      <w:pPr>
        <w:spacing w:after="26" w:line="259" w:lineRule="auto"/>
        <w:ind w:left="360" w:firstLine="0"/>
        <w:jc w:val="both"/>
        <w:rPr>
          <w:color w:val="000000" w:themeColor="text1"/>
        </w:rPr>
      </w:pPr>
      <w:r w:rsidRPr="00C43C6A">
        <w:rPr>
          <w:color w:val="000000" w:themeColor="text1"/>
        </w:rPr>
        <w:t xml:space="preserve"> </w:t>
      </w:r>
    </w:p>
    <w:p w:rsidR="009773C5" w:rsidRDefault="00760C1B" w:rsidP="009133FB">
      <w:pPr>
        <w:numPr>
          <w:ilvl w:val="0"/>
          <w:numId w:val="2"/>
        </w:numPr>
        <w:spacing w:after="40" w:line="259" w:lineRule="auto"/>
        <w:ind w:right="52" w:firstLine="0"/>
        <w:jc w:val="both"/>
        <w:rPr>
          <w:color w:val="000000" w:themeColor="text1"/>
        </w:rPr>
      </w:pPr>
      <w:r w:rsidRPr="00E926BB">
        <w:rPr>
          <w:color w:val="000000" w:themeColor="text1"/>
        </w:rPr>
        <w:t>If the information is not forthcoming, an assessment</w:t>
      </w:r>
      <w:r w:rsidRPr="00E926BB">
        <w:rPr>
          <w:color w:val="000000" w:themeColor="text1"/>
          <w:vertAlign w:val="superscript"/>
        </w:rPr>
        <w:footnoteReference w:id="2"/>
      </w:r>
      <w:r w:rsidRPr="00E926BB">
        <w:rPr>
          <w:color w:val="000000" w:themeColor="text1"/>
        </w:rPr>
        <w:t xml:space="preserve"> of the family’s circumstances should be carried out anyway by the receiving Authority, to ascertain whether the child/children continue to be Children in Need </w:t>
      </w:r>
      <w:r w:rsidR="0082560F" w:rsidRPr="00E926BB">
        <w:rPr>
          <w:color w:val="000000" w:themeColor="text1"/>
        </w:rPr>
        <w:t xml:space="preserve">or subject to a Child Protection Plan </w:t>
      </w:r>
      <w:r w:rsidRPr="00E926BB">
        <w:rPr>
          <w:color w:val="000000" w:themeColor="text1"/>
        </w:rPr>
        <w:t xml:space="preserve">and whether services are required. This should take place </w:t>
      </w:r>
      <w:r w:rsidR="00E926BB" w:rsidRPr="00E926BB">
        <w:rPr>
          <w:color w:val="000000" w:themeColor="text1"/>
        </w:rPr>
        <w:t>as agreed in each LA’s practice standard in relation to Children in Need and Child Protection.</w:t>
      </w:r>
      <w:r w:rsidRPr="00E926BB">
        <w:rPr>
          <w:color w:val="000000" w:themeColor="text1"/>
        </w:rPr>
        <w:t xml:space="preserve"> </w:t>
      </w:r>
      <w:r w:rsidR="0049718E" w:rsidRPr="00E926BB">
        <w:rPr>
          <w:color w:val="000000" w:themeColor="text1"/>
        </w:rPr>
        <w:t xml:space="preserve">The failure to share this information should be escalated to the Director of Social Care in the receiving authority, who will notify their counterpart </w:t>
      </w:r>
      <w:r w:rsidR="00704F6D" w:rsidRPr="00E926BB">
        <w:rPr>
          <w:color w:val="000000" w:themeColor="text1"/>
        </w:rPr>
        <w:t>i</w:t>
      </w:r>
      <w:r w:rsidR="0049718E" w:rsidRPr="00E926BB">
        <w:rPr>
          <w:color w:val="000000" w:themeColor="text1"/>
        </w:rPr>
        <w:t xml:space="preserve">n the referring authority and seek assurance about the timescale within which the outstanding information will be provided. Each Local Authority will notify the most appropriate sub-group of their Safeguarding Children Partnership when such an escalation has been received. </w:t>
      </w:r>
    </w:p>
    <w:p w:rsidR="009773C5" w:rsidRDefault="009773C5" w:rsidP="009773C5">
      <w:pPr>
        <w:pStyle w:val="ListParagraph"/>
        <w:rPr>
          <w:color w:val="000000" w:themeColor="text1"/>
        </w:rPr>
      </w:pPr>
    </w:p>
    <w:p w:rsidR="00576ED9" w:rsidRPr="00E926BB" w:rsidRDefault="00760C1B" w:rsidP="009773C5">
      <w:pPr>
        <w:spacing w:after="40" w:line="259" w:lineRule="auto"/>
        <w:ind w:left="360" w:right="52" w:firstLine="0"/>
        <w:jc w:val="both"/>
        <w:rPr>
          <w:color w:val="000000" w:themeColor="text1"/>
        </w:rPr>
      </w:pPr>
      <w:r w:rsidRPr="00E926BB">
        <w:rPr>
          <w:color w:val="000000" w:themeColor="text1"/>
        </w:rPr>
        <w:t xml:space="preserve"> </w:t>
      </w:r>
    </w:p>
    <w:p w:rsidR="00576ED9" w:rsidRPr="00C43C6A" w:rsidRDefault="0049718E" w:rsidP="009133FB">
      <w:pPr>
        <w:numPr>
          <w:ilvl w:val="0"/>
          <w:numId w:val="2"/>
        </w:numPr>
        <w:ind w:right="52" w:hanging="360"/>
        <w:jc w:val="both"/>
        <w:rPr>
          <w:color w:val="000000" w:themeColor="text1"/>
        </w:rPr>
      </w:pPr>
      <w:r w:rsidRPr="00C43C6A">
        <w:rPr>
          <w:color w:val="000000" w:themeColor="text1"/>
        </w:rPr>
        <w:t xml:space="preserve">For </w:t>
      </w:r>
      <w:r w:rsidR="00E92A20" w:rsidRPr="005D6E07">
        <w:rPr>
          <w:color w:val="000000" w:themeColor="text1"/>
        </w:rPr>
        <w:t>children</w:t>
      </w:r>
      <w:r w:rsidRPr="005D6E07">
        <w:rPr>
          <w:color w:val="000000" w:themeColor="text1"/>
        </w:rPr>
        <w:t xml:space="preserve"> subject to a Child in Need plan t</w:t>
      </w:r>
      <w:r w:rsidR="00760C1B" w:rsidRPr="005D6E07">
        <w:rPr>
          <w:color w:val="000000" w:themeColor="text1"/>
        </w:rPr>
        <w:t xml:space="preserve">he general expectation is that </w:t>
      </w:r>
      <w:r w:rsidR="008237C7" w:rsidRPr="005D6E07">
        <w:rPr>
          <w:color w:val="000000" w:themeColor="text1"/>
        </w:rPr>
        <w:t>consent</w:t>
      </w:r>
      <w:r w:rsidR="00760C1B" w:rsidRPr="005D6E07">
        <w:rPr>
          <w:color w:val="000000" w:themeColor="text1"/>
        </w:rPr>
        <w:t xml:space="preserve"> is sough</w:t>
      </w:r>
      <w:r w:rsidRPr="005D6E07">
        <w:rPr>
          <w:color w:val="000000" w:themeColor="text1"/>
        </w:rPr>
        <w:t xml:space="preserve">t by the referring </w:t>
      </w:r>
      <w:r w:rsidR="00360605" w:rsidRPr="005D6E07">
        <w:rPr>
          <w:color w:val="000000" w:themeColor="text1"/>
        </w:rPr>
        <w:t>authority from</w:t>
      </w:r>
      <w:r w:rsidR="00760C1B" w:rsidRPr="005D6E07">
        <w:rPr>
          <w:color w:val="000000" w:themeColor="text1"/>
        </w:rPr>
        <w:t xml:space="preserve"> the family regarding the referral and provision of information. </w:t>
      </w:r>
      <w:r w:rsidRPr="005D6E07">
        <w:rPr>
          <w:color w:val="000000" w:themeColor="text1"/>
        </w:rPr>
        <w:t xml:space="preserve"> </w:t>
      </w:r>
      <w:r w:rsidR="00760C1B" w:rsidRPr="005D6E07">
        <w:rPr>
          <w:color w:val="000000" w:themeColor="text1"/>
        </w:rPr>
        <w:t xml:space="preserve">Where </w:t>
      </w:r>
      <w:r w:rsidR="008237C7" w:rsidRPr="005D6E07">
        <w:rPr>
          <w:color w:val="000000" w:themeColor="text1"/>
        </w:rPr>
        <w:t xml:space="preserve">consent is not given </w:t>
      </w:r>
      <w:r w:rsidR="00760C1B" w:rsidRPr="005D6E07">
        <w:rPr>
          <w:color w:val="000000" w:themeColor="text1"/>
        </w:rPr>
        <w:t xml:space="preserve">and there are historic or current child protection concerns, then the protection of the child is paramount and </w:t>
      </w:r>
      <w:r w:rsidR="00950927" w:rsidRPr="005D6E07">
        <w:rPr>
          <w:color w:val="000000" w:themeColor="text1"/>
        </w:rPr>
        <w:t xml:space="preserve">a safeguarding </w:t>
      </w:r>
      <w:r w:rsidR="00760C1B" w:rsidRPr="005D6E07">
        <w:rPr>
          <w:color w:val="000000" w:themeColor="text1"/>
        </w:rPr>
        <w:t xml:space="preserve">referral must be made. If there are any doubts, advice is to be sought from legal services or the Caldicott Guardian. </w:t>
      </w:r>
      <w:r w:rsidRPr="005D6E07">
        <w:rPr>
          <w:color w:val="000000" w:themeColor="text1"/>
        </w:rPr>
        <w:t xml:space="preserve">For </w:t>
      </w:r>
      <w:r w:rsidR="00E92A20" w:rsidRPr="005D6E07">
        <w:rPr>
          <w:color w:val="000000" w:themeColor="text1"/>
        </w:rPr>
        <w:t>children</w:t>
      </w:r>
      <w:r w:rsidRPr="005D6E07">
        <w:rPr>
          <w:color w:val="000000" w:themeColor="text1"/>
        </w:rPr>
        <w:t xml:space="preserve"> subject</w:t>
      </w:r>
      <w:r w:rsidRPr="00C43C6A">
        <w:rPr>
          <w:color w:val="000000" w:themeColor="text1"/>
        </w:rPr>
        <w:t xml:space="preserve"> to a </w:t>
      </w:r>
      <w:r w:rsidR="00360605">
        <w:rPr>
          <w:color w:val="000000" w:themeColor="text1"/>
        </w:rPr>
        <w:t xml:space="preserve">child </w:t>
      </w:r>
      <w:r w:rsidRPr="00C43C6A">
        <w:rPr>
          <w:color w:val="000000" w:themeColor="text1"/>
        </w:rPr>
        <w:t xml:space="preserve">protection plan consent is not required however it is good practice to ensure the family are informed about the fact that the receiving authority will be notified. </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C43C6A" w:rsidRDefault="0049718E" w:rsidP="009133FB">
      <w:pPr>
        <w:numPr>
          <w:ilvl w:val="0"/>
          <w:numId w:val="2"/>
        </w:numPr>
        <w:ind w:right="52" w:hanging="360"/>
        <w:jc w:val="both"/>
        <w:rPr>
          <w:color w:val="000000" w:themeColor="text1"/>
        </w:rPr>
      </w:pPr>
      <w:r w:rsidRPr="00C43C6A">
        <w:rPr>
          <w:color w:val="000000" w:themeColor="text1"/>
        </w:rPr>
        <w:t>Where it is agreed that children will transfer to the new Home local authority under a CIN  or CP plan, this should be facilitated by a Child in Need meeting or</w:t>
      </w:r>
      <w:r w:rsidR="000C00D2" w:rsidRPr="00C43C6A">
        <w:rPr>
          <w:color w:val="000000" w:themeColor="text1"/>
        </w:rPr>
        <w:t xml:space="preserve"> </w:t>
      </w:r>
      <w:r w:rsidR="00950927">
        <w:rPr>
          <w:color w:val="000000" w:themeColor="text1"/>
        </w:rPr>
        <w:t>C</w:t>
      </w:r>
      <w:r w:rsidR="00372F80">
        <w:rPr>
          <w:color w:val="000000" w:themeColor="text1"/>
        </w:rPr>
        <w:t xml:space="preserve">hild </w:t>
      </w:r>
      <w:r w:rsidR="00950927">
        <w:rPr>
          <w:color w:val="000000" w:themeColor="text1"/>
        </w:rPr>
        <w:t>P</w:t>
      </w:r>
      <w:r w:rsidR="00372F80">
        <w:rPr>
          <w:color w:val="000000" w:themeColor="text1"/>
        </w:rPr>
        <w:t xml:space="preserve">rotection </w:t>
      </w:r>
      <w:r w:rsidR="000C00D2" w:rsidRPr="00C43C6A">
        <w:rPr>
          <w:color w:val="000000" w:themeColor="text1"/>
        </w:rPr>
        <w:t xml:space="preserve">transfer in </w:t>
      </w:r>
      <w:r w:rsidR="00372F80">
        <w:rPr>
          <w:color w:val="000000" w:themeColor="text1"/>
        </w:rPr>
        <w:t>conference</w:t>
      </w:r>
      <w:r w:rsidR="000C00D2" w:rsidRPr="00C43C6A">
        <w:rPr>
          <w:color w:val="000000" w:themeColor="text1"/>
        </w:rPr>
        <w:t xml:space="preserve"> </w:t>
      </w:r>
      <w:r w:rsidR="00360605">
        <w:rPr>
          <w:color w:val="000000" w:themeColor="text1"/>
        </w:rPr>
        <w:t>w</w:t>
      </w:r>
      <w:r w:rsidRPr="00C43C6A">
        <w:rPr>
          <w:color w:val="000000" w:themeColor="text1"/>
        </w:rPr>
        <w:t>hich will be the official handover of the child’s plan and case responsibility thereaft</w:t>
      </w:r>
      <w:r w:rsidR="000C00D2" w:rsidRPr="00C43C6A">
        <w:rPr>
          <w:color w:val="000000" w:themeColor="text1"/>
        </w:rPr>
        <w:t>er</w:t>
      </w:r>
      <w:r w:rsidR="00760C1B" w:rsidRPr="00C43C6A">
        <w:rPr>
          <w:color w:val="000000" w:themeColor="text1"/>
        </w:rPr>
        <w:t>. Consideration must be given to the possibility that the move to the new area could have increased any previously identified risks or introduced new ones</w:t>
      </w:r>
      <w:r w:rsidRPr="00C43C6A">
        <w:rPr>
          <w:color w:val="000000" w:themeColor="text1"/>
        </w:rPr>
        <w:t xml:space="preserve"> and this will be reflected in the updated CIN/CP plan.</w:t>
      </w:r>
      <w:r w:rsidR="000C00D2" w:rsidRPr="00C43C6A">
        <w:rPr>
          <w:color w:val="000000" w:themeColor="text1"/>
        </w:rPr>
        <w:t xml:space="preserve"> Equally the move may have reduced risk in which case the referring authority should consider brin</w:t>
      </w:r>
      <w:r w:rsidR="00360605">
        <w:rPr>
          <w:color w:val="000000" w:themeColor="text1"/>
        </w:rPr>
        <w:t>g</w:t>
      </w:r>
      <w:r w:rsidR="000C00D2" w:rsidRPr="00C43C6A">
        <w:rPr>
          <w:color w:val="000000" w:themeColor="text1"/>
        </w:rPr>
        <w:t xml:space="preserve">ing forward the RCPC to consider ending the plan. </w:t>
      </w:r>
      <w:r w:rsidR="00760C1B" w:rsidRPr="00C43C6A">
        <w:rPr>
          <w:color w:val="000000" w:themeColor="text1"/>
        </w:rPr>
        <w:t xml:space="preserve">  </w:t>
      </w:r>
    </w:p>
    <w:p w:rsidR="00576ED9" w:rsidRPr="00C43C6A" w:rsidRDefault="00760C1B" w:rsidP="009133FB">
      <w:pPr>
        <w:spacing w:after="9" w:line="259" w:lineRule="auto"/>
        <w:ind w:left="0" w:firstLine="0"/>
        <w:jc w:val="both"/>
        <w:rPr>
          <w:color w:val="000000" w:themeColor="text1"/>
        </w:rPr>
      </w:pPr>
      <w:r w:rsidRPr="00C43C6A">
        <w:rPr>
          <w:color w:val="000000" w:themeColor="text1"/>
        </w:rPr>
        <w:t xml:space="preserve"> </w:t>
      </w:r>
    </w:p>
    <w:p w:rsidR="00523097" w:rsidRPr="00C43C6A" w:rsidRDefault="00523097" w:rsidP="009133FB">
      <w:pPr>
        <w:pStyle w:val="Heading1"/>
        <w:ind w:left="-5"/>
        <w:jc w:val="both"/>
        <w:rPr>
          <w:color w:val="000000" w:themeColor="text1"/>
        </w:rPr>
      </w:pPr>
      <w:r w:rsidRPr="00C43C6A">
        <w:rPr>
          <w:color w:val="000000" w:themeColor="text1"/>
        </w:rPr>
        <w:t>Temporary accommodation</w:t>
      </w:r>
    </w:p>
    <w:p w:rsidR="00523097" w:rsidRPr="00C43C6A" w:rsidRDefault="00523097" w:rsidP="009133FB">
      <w:pPr>
        <w:pStyle w:val="Heading1"/>
        <w:ind w:left="-5"/>
        <w:jc w:val="both"/>
        <w:rPr>
          <w:color w:val="000000" w:themeColor="text1"/>
        </w:rPr>
      </w:pPr>
    </w:p>
    <w:p w:rsidR="00523097" w:rsidRPr="00C43C6A" w:rsidRDefault="00523097" w:rsidP="009133FB">
      <w:pPr>
        <w:numPr>
          <w:ilvl w:val="0"/>
          <w:numId w:val="3"/>
        </w:numPr>
        <w:ind w:right="52" w:hanging="360"/>
        <w:jc w:val="both"/>
        <w:rPr>
          <w:color w:val="000000" w:themeColor="text1"/>
        </w:rPr>
      </w:pPr>
      <w:r w:rsidRPr="00C43C6A">
        <w:rPr>
          <w:color w:val="000000" w:themeColor="text1"/>
        </w:rPr>
        <w:t xml:space="preserve">It is recognised that some families can live in temporary accommodation for long </w:t>
      </w:r>
      <w:r w:rsidRPr="00D32E62">
        <w:rPr>
          <w:color w:val="000000" w:themeColor="text1"/>
        </w:rPr>
        <w:t>periods. Given this case responsibility should be kept under ongoing review.</w:t>
      </w:r>
      <w:r w:rsidRPr="00C43C6A">
        <w:rPr>
          <w:color w:val="000000" w:themeColor="text1"/>
        </w:rPr>
        <w:t xml:space="preserve"> The point at which a case should transfer to another authority will need to be clearly agreed, in writing, by both authorities. When taking into account who should lead the authorities will consider</w:t>
      </w:r>
      <w:r w:rsidR="00266869">
        <w:rPr>
          <w:color w:val="000000" w:themeColor="text1"/>
        </w:rPr>
        <w:t>:</w:t>
      </w:r>
    </w:p>
    <w:p w:rsidR="00523097" w:rsidRPr="00C43C6A" w:rsidRDefault="00523097" w:rsidP="009133FB">
      <w:pPr>
        <w:numPr>
          <w:ilvl w:val="1"/>
          <w:numId w:val="3"/>
        </w:numPr>
        <w:ind w:right="52" w:hanging="360"/>
        <w:jc w:val="both"/>
        <w:rPr>
          <w:color w:val="000000" w:themeColor="text1"/>
        </w:rPr>
      </w:pPr>
      <w:r w:rsidRPr="00C43C6A">
        <w:rPr>
          <w:color w:val="000000" w:themeColor="text1"/>
        </w:rPr>
        <w:t>The principles that underpin the area of ordinary residence</w:t>
      </w:r>
      <w:r w:rsidR="00721BD2">
        <w:rPr>
          <w:color w:val="000000" w:themeColor="text1"/>
        </w:rPr>
        <w:t xml:space="preserve">, </w:t>
      </w:r>
      <w:r w:rsidR="008B387F">
        <w:rPr>
          <w:color w:val="000000" w:themeColor="text1"/>
        </w:rPr>
        <w:t>i.e.</w:t>
      </w:r>
      <w:r w:rsidR="00721BD2">
        <w:rPr>
          <w:color w:val="000000" w:themeColor="text1"/>
        </w:rPr>
        <w:t xml:space="preserve"> the family have lived in the area for at least </w:t>
      </w:r>
      <w:r w:rsidR="00721BD2" w:rsidRPr="00E926BB">
        <w:rPr>
          <w:color w:val="000000" w:themeColor="text1"/>
        </w:rPr>
        <w:t>1</w:t>
      </w:r>
      <w:r w:rsidR="00E926BB" w:rsidRPr="00E926BB">
        <w:rPr>
          <w:color w:val="000000" w:themeColor="text1"/>
        </w:rPr>
        <w:t>2</w:t>
      </w:r>
      <w:r w:rsidR="00721BD2" w:rsidRPr="00E926BB">
        <w:rPr>
          <w:color w:val="000000" w:themeColor="text1"/>
        </w:rPr>
        <w:t xml:space="preserve"> weeks</w:t>
      </w:r>
      <w:r w:rsidR="00721BD2">
        <w:rPr>
          <w:color w:val="000000" w:themeColor="text1"/>
        </w:rPr>
        <w:t xml:space="preserve">, have indicated their intention to remain and are registered with local services. </w:t>
      </w:r>
    </w:p>
    <w:p w:rsidR="00523097" w:rsidRPr="00C43C6A" w:rsidRDefault="00523097" w:rsidP="009133FB">
      <w:pPr>
        <w:numPr>
          <w:ilvl w:val="1"/>
          <w:numId w:val="3"/>
        </w:numPr>
        <w:ind w:right="52" w:hanging="360"/>
        <w:jc w:val="both"/>
        <w:rPr>
          <w:color w:val="000000" w:themeColor="text1"/>
        </w:rPr>
      </w:pPr>
      <w:r w:rsidRPr="00C43C6A">
        <w:rPr>
          <w:color w:val="000000" w:themeColor="text1"/>
        </w:rPr>
        <w:t>Which other agencies are supporting the child and family</w:t>
      </w:r>
      <w:r w:rsidR="00266869">
        <w:rPr>
          <w:color w:val="000000" w:themeColor="text1"/>
        </w:rPr>
        <w:t>.</w:t>
      </w:r>
    </w:p>
    <w:p w:rsidR="00523097" w:rsidRDefault="00523097" w:rsidP="009133FB">
      <w:pPr>
        <w:numPr>
          <w:ilvl w:val="1"/>
          <w:numId w:val="3"/>
        </w:numPr>
        <w:ind w:right="52" w:hanging="360"/>
        <w:jc w:val="both"/>
        <w:rPr>
          <w:color w:val="000000" w:themeColor="text1"/>
        </w:rPr>
      </w:pPr>
      <w:r w:rsidRPr="00C43C6A">
        <w:rPr>
          <w:color w:val="000000" w:themeColor="text1"/>
        </w:rPr>
        <w:t>The length of time likely to elapse before permanent accommodation is identified</w:t>
      </w:r>
      <w:r w:rsidR="00266869">
        <w:rPr>
          <w:color w:val="000000" w:themeColor="text1"/>
        </w:rPr>
        <w:t>.</w:t>
      </w:r>
    </w:p>
    <w:p w:rsidR="00721BD2" w:rsidRPr="00C43C6A" w:rsidRDefault="00721BD2" w:rsidP="009133FB">
      <w:pPr>
        <w:numPr>
          <w:ilvl w:val="1"/>
          <w:numId w:val="3"/>
        </w:numPr>
        <w:ind w:right="52" w:hanging="360"/>
        <w:jc w:val="both"/>
        <w:rPr>
          <w:color w:val="000000" w:themeColor="text1"/>
        </w:rPr>
      </w:pPr>
      <w:r>
        <w:rPr>
          <w:color w:val="000000" w:themeColor="text1"/>
        </w:rPr>
        <w:t xml:space="preserve">Any barriers to the family securing permanent residence in the new area. </w:t>
      </w:r>
    </w:p>
    <w:p w:rsidR="00523097" w:rsidRPr="00C43C6A" w:rsidRDefault="00523097" w:rsidP="009133FB">
      <w:pPr>
        <w:numPr>
          <w:ilvl w:val="1"/>
          <w:numId w:val="3"/>
        </w:numPr>
        <w:ind w:right="52" w:hanging="360"/>
        <w:jc w:val="both"/>
        <w:rPr>
          <w:color w:val="000000" w:themeColor="text1"/>
        </w:rPr>
      </w:pPr>
      <w:r w:rsidRPr="00C43C6A">
        <w:rPr>
          <w:color w:val="000000" w:themeColor="text1"/>
        </w:rPr>
        <w:t>The family’s long term plans</w:t>
      </w:r>
      <w:r w:rsidR="0049718E" w:rsidRPr="00C43C6A">
        <w:rPr>
          <w:color w:val="000000" w:themeColor="text1"/>
        </w:rPr>
        <w:t>, which would include consideration of changes to GP practice, registration with local housing authorities</w:t>
      </w:r>
    </w:p>
    <w:p w:rsidR="00523097" w:rsidRPr="00C43C6A" w:rsidRDefault="00523097" w:rsidP="009133FB">
      <w:pPr>
        <w:ind w:left="1080" w:right="52" w:firstLine="0"/>
        <w:jc w:val="both"/>
        <w:rPr>
          <w:color w:val="000000" w:themeColor="text1"/>
        </w:rPr>
      </w:pPr>
    </w:p>
    <w:p w:rsidR="00523097" w:rsidRPr="00C43C6A" w:rsidRDefault="00523097" w:rsidP="009133FB">
      <w:pPr>
        <w:pStyle w:val="Heading1"/>
        <w:ind w:left="-5"/>
        <w:jc w:val="both"/>
        <w:rPr>
          <w:color w:val="000000" w:themeColor="text1"/>
        </w:rPr>
      </w:pPr>
      <w:r w:rsidRPr="00C43C6A">
        <w:rPr>
          <w:color w:val="000000" w:themeColor="text1"/>
        </w:rPr>
        <w:t xml:space="preserve">Prior to case transfer occurring </w:t>
      </w:r>
    </w:p>
    <w:p w:rsidR="00523097" w:rsidRPr="00C43C6A" w:rsidRDefault="00523097" w:rsidP="009133FB">
      <w:pPr>
        <w:ind w:right="52"/>
        <w:jc w:val="both"/>
        <w:rPr>
          <w:color w:val="000000" w:themeColor="text1"/>
        </w:rPr>
      </w:pPr>
    </w:p>
    <w:p w:rsidR="00576ED9" w:rsidRPr="00C43C6A" w:rsidRDefault="00760C1B" w:rsidP="009133FB">
      <w:pPr>
        <w:numPr>
          <w:ilvl w:val="0"/>
          <w:numId w:val="3"/>
        </w:numPr>
        <w:ind w:right="52" w:hanging="360"/>
        <w:jc w:val="both"/>
        <w:rPr>
          <w:color w:val="000000" w:themeColor="text1"/>
        </w:rPr>
      </w:pPr>
      <w:r w:rsidRPr="00C43C6A">
        <w:rPr>
          <w:color w:val="000000" w:themeColor="text1"/>
        </w:rPr>
        <w:t xml:space="preserve">The child and his/her parents should be kept informed of the progress of case transfer.  </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C43C6A" w:rsidRDefault="00760C1B" w:rsidP="009133FB">
      <w:pPr>
        <w:numPr>
          <w:ilvl w:val="0"/>
          <w:numId w:val="3"/>
        </w:numPr>
        <w:ind w:right="52" w:hanging="360"/>
        <w:jc w:val="both"/>
        <w:rPr>
          <w:color w:val="000000" w:themeColor="text1"/>
        </w:rPr>
      </w:pPr>
      <w:r w:rsidRPr="00C43C6A">
        <w:rPr>
          <w:color w:val="000000" w:themeColor="text1"/>
        </w:rPr>
        <w:t>A</w:t>
      </w:r>
      <w:r w:rsidR="0049718E" w:rsidRPr="00C43C6A">
        <w:rPr>
          <w:color w:val="000000" w:themeColor="text1"/>
        </w:rPr>
        <w:t>n email or</w:t>
      </w:r>
      <w:r w:rsidRPr="00C43C6A">
        <w:rPr>
          <w:color w:val="000000" w:themeColor="text1"/>
        </w:rPr>
        <w:t xml:space="preserve"> letter acknowledging the receipt of the transfer summary and informing the referring Local Authority of the decision as to whether the case will be allocated should be sent within 5 working days of receipt. </w:t>
      </w:r>
      <w:r w:rsidR="000C00D2" w:rsidRPr="00C43C6A">
        <w:rPr>
          <w:color w:val="000000" w:themeColor="text1"/>
        </w:rPr>
        <w:t xml:space="preserve">For </w:t>
      </w:r>
      <w:r w:rsidR="00721BD2" w:rsidRPr="00C43C6A">
        <w:rPr>
          <w:color w:val="000000" w:themeColor="text1"/>
        </w:rPr>
        <w:t>children</w:t>
      </w:r>
      <w:r w:rsidR="000C00D2" w:rsidRPr="00C43C6A">
        <w:rPr>
          <w:color w:val="000000" w:themeColor="text1"/>
        </w:rPr>
        <w:t xml:space="preserve"> subject to a </w:t>
      </w:r>
      <w:r w:rsidR="008B387F">
        <w:rPr>
          <w:color w:val="000000" w:themeColor="text1"/>
        </w:rPr>
        <w:t xml:space="preserve">child </w:t>
      </w:r>
      <w:r w:rsidR="000C00D2" w:rsidRPr="00C43C6A">
        <w:rPr>
          <w:color w:val="000000" w:themeColor="text1"/>
        </w:rPr>
        <w:t xml:space="preserve">protection plan the transfer point will be the transfer in conference. </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721BD2" w:rsidRDefault="00760C1B" w:rsidP="009133FB">
      <w:pPr>
        <w:numPr>
          <w:ilvl w:val="0"/>
          <w:numId w:val="3"/>
        </w:numPr>
        <w:ind w:right="52" w:hanging="360"/>
        <w:jc w:val="both"/>
        <w:rPr>
          <w:color w:val="000000" w:themeColor="text1"/>
        </w:rPr>
      </w:pPr>
      <w:r w:rsidRPr="00C43C6A">
        <w:rPr>
          <w:color w:val="000000" w:themeColor="text1"/>
        </w:rPr>
        <w:t xml:space="preserve">The receiving Local Authority has responsibility, </w:t>
      </w:r>
      <w:r w:rsidR="00266869">
        <w:rPr>
          <w:color w:val="000000" w:themeColor="text1"/>
        </w:rPr>
        <w:t>upon accepting the</w:t>
      </w:r>
      <w:r w:rsidRPr="00C43C6A">
        <w:rPr>
          <w:color w:val="000000" w:themeColor="text1"/>
        </w:rPr>
        <w:t xml:space="preserve"> referral, to ensure a Child in Need (CiN) meeting is convened as soon </w:t>
      </w:r>
      <w:r w:rsidRPr="00E926BB">
        <w:rPr>
          <w:color w:val="000000" w:themeColor="text1"/>
        </w:rPr>
        <w:t>as possible</w:t>
      </w:r>
      <w:r w:rsidRPr="00C43C6A">
        <w:rPr>
          <w:color w:val="000000" w:themeColor="text1"/>
        </w:rPr>
        <w:t xml:space="preserve">.  </w:t>
      </w:r>
      <w:r w:rsidR="00F06CE4" w:rsidRPr="00C43C6A">
        <w:rPr>
          <w:color w:val="000000" w:themeColor="text1"/>
        </w:rPr>
        <w:t xml:space="preserve">For children subject to a </w:t>
      </w:r>
      <w:r w:rsidR="008B387F">
        <w:rPr>
          <w:color w:val="000000" w:themeColor="text1"/>
        </w:rPr>
        <w:t>c</w:t>
      </w:r>
      <w:r w:rsidR="00F06CE4" w:rsidRPr="00C43C6A">
        <w:rPr>
          <w:color w:val="000000" w:themeColor="text1"/>
        </w:rPr>
        <w:t xml:space="preserve">hild </w:t>
      </w:r>
      <w:r w:rsidR="008B387F">
        <w:rPr>
          <w:color w:val="000000" w:themeColor="text1"/>
        </w:rPr>
        <w:t>p</w:t>
      </w:r>
      <w:r w:rsidR="00F06CE4" w:rsidRPr="00C43C6A">
        <w:rPr>
          <w:color w:val="000000" w:themeColor="text1"/>
        </w:rPr>
        <w:t xml:space="preserve">rotection </w:t>
      </w:r>
      <w:r w:rsidR="008B387F">
        <w:rPr>
          <w:color w:val="000000" w:themeColor="text1"/>
        </w:rPr>
        <w:t>p</w:t>
      </w:r>
      <w:r w:rsidR="00F06CE4" w:rsidRPr="00C43C6A">
        <w:rPr>
          <w:color w:val="000000" w:themeColor="text1"/>
        </w:rPr>
        <w:t xml:space="preserve">lan the transfer point will be a </w:t>
      </w:r>
      <w:r w:rsidR="000C00D2" w:rsidRPr="00C43C6A">
        <w:rPr>
          <w:color w:val="000000" w:themeColor="text1"/>
        </w:rPr>
        <w:t xml:space="preserve">transfer in </w:t>
      </w:r>
      <w:r w:rsidR="008B387F">
        <w:rPr>
          <w:color w:val="000000" w:themeColor="text1"/>
        </w:rPr>
        <w:t>c</w:t>
      </w:r>
      <w:r w:rsidR="00D0792B" w:rsidRPr="00C43C6A">
        <w:rPr>
          <w:color w:val="000000" w:themeColor="text1"/>
        </w:rPr>
        <w:t>onference</w:t>
      </w:r>
      <w:r w:rsidR="00F06CE4" w:rsidRPr="00C43C6A">
        <w:rPr>
          <w:color w:val="000000" w:themeColor="text1"/>
        </w:rPr>
        <w:t xml:space="preserve"> chaired by the receiving authority. The Team Manager and Social Worker/Lead Practitioner from the referring authority are required to attend the CIN</w:t>
      </w:r>
      <w:r w:rsidR="00BC4815">
        <w:rPr>
          <w:color w:val="000000" w:themeColor="text1"/>
        </w:rPr>
        <w:t xml:space="preserve"> meeting</w:t>
      </w:r>
      <w:r w:rsidR="00F06CE4" w:rsidRPr="00C43C6A">
        <w:rPr>
          <w:color w:val="000000" w:themeColor="text1"/>
        </w:rPr>
        <w:t>/</w:t>
      </w:r>
      <w:r w:rsidR="00D0792B" w:rsidRPr="00C43C6A">
        <w:rPr>
          <w:color w:val="000000" w:themeColor="text1"/>
        </w:rPr>
        <w:t>transfer in conference</w:t>
      </w:r>
      <w:r w:rsidR="00F06CE4" w:rsidRPr="00C43C6A">
        <w:rPr>
          <w:color w:val="000000" w:themeColor="text1"/>
        </w:rPr>
        <w:t xml:space="preserve"> meeting.</w:t>
      </w:r>
    </w:p>
    <w:p w:rsidR="00576ED9" w:rsidRPr="00C43C6A" w:rsidRDefault="00576ED9" w:rsidP="009133FB">
      <w:pPr>
        <w:spacing w:after="40" w:line="259" w:lineRule="auto"/>
        <w:ind w:left="360" w:firstLine="0"/>
        <w:jc w:val="both"/>
        <w:rPr>
          <w:color w:val="000000" w:themeColor="text1"/>
        </w:rPr>
      </w:pPr>
    </w:p>
    <w:p w:rsidR="00F06CE4" w:rsidRPr="00C43C6A" w:rsidRDefault="00F06CE4" w:rsidP="009133FB">
      <w:pPr>
        <w:numPr>
          <w:ilvl w:val="0"/>
          <w:numId w:val="3"/>
        </w:numPr>
        <w:ind w:right="52" w:hanging="360"/>
        <w:jc w:val="both"/>
        <w:rPr>
          <w:color w:val="000000" w:themeColor="text1"/>
        </w:rPr>
      </w:pPr>
      <w:r w:rsidRPr="00C43C6A">
        <w:rPr>
          <w:color w:val="000000" w:themeColor="text1"/>
        </w:rPr>
        <w:t>Until the first CiN Meeting/</w:t>
      </w:r>
      <w:r w:rsidR="00D0792B" w:rsidRPr="00C43C6A">
        <w:rPr>
          <w:color w:val="000000" w:themeColor="text1"/>
        </w:rPr>
        <w:t>Transfer in conference</w:t>
      </w:r>
      <w:r w:rsidRPr="00C43C6A">
        <w:rPr>
          <w:color w:val="000000" w:themeColor="text1"/>
        </w:rPr>
        <w:t xml:space="preserve"> the child will remain subject to a Plan in the referring Local Authority area and the key/lead worker in the referring Local Authority area should negotiate monitoring arrangements, if any, with the relevant team in the receiving area so that the plan for the child continues to be overseen until the receiving Local Authority confirms its decision on case management and/or that a revised plan is in place.  Transfers of cases should never stop the referring Local Authority continuing with appropriate planning for children. This will include a requirement to visit the child in the receiving Local Authority area subject to an assessment of the risk associated with the need. </w:t>
      </w:r>
    </w:p>
    <w:p w:rsidR="00576ED9" w:rsidRPr="00C43C6A" w:rsidRDefault="00760C1B" w:rsidP="009133FB">
      <w:pPr>
        <w:spacing w:after="37" w:line="259" w:lineRule="auto"/>
        <w:ind w:left="360" w:firstLine="0"/>
        <w:jc w:val="both"/>
        <w:rPr>
          <w:color w:val="000000" w:themeColor="text1"/>
        </w:rPr>
      </w:pPr>
      <w:r w:rsidRPr="00C43C6A">
        <w:rPr>
          <w:color w:val="000000" w:themeColor="text1"/>
        </w:rPr>
        <w:t xml:space="preserve"> </w:t>
      </w:r>
    </w:p>
    <w:p w:rsidR="00576ED9" w:rsidRDefault="00760C1B" w:rsidP="00E35A11">
      <w:pPr>
        <w:numPr>
          <w:ilvl w:val="0"/>
          <w:numId w:val="3"/>
        </w:numPr>
        <w:ind w:right="52" w:hanging="360"/>
        <w:jc w:val="both"/>
        <w:rPr>
          <w:color w:val="000000" w:themeColor="text1"/>
        </w:rPr>
      </w:pPr>
      <w:r w:rsidRPr="009F0591">
        <w:rPr>
          <w:color w:val="000000" w:themeColor="text1"/>
        </w:rPr>
        <w:t xml:space="preserve">If a funded package of support is in place in the referring Local Authority </w:t>
      </w:r>
      <w:r w:rsidR="008B387F" w:rsidRPr="009F0591">
        <w:rPr>
          <w:color w:val="000000" w:themeColor="text1"/>
        </w:rPr>
        <w:t>area,</w:t>
      </w:r>
      <w:r w:rsidRPr="009F0591">
        <w:rPr>
          <w:color w:val="000000" w:themeColor="text1"/>
        </w:rPr>
        <w:t xml:space="preserve"> then this will continue until at least the first CiN meeting in the receiving Local Authority.</w:t>
      </w:r>
      <w:r w:rsidR="003726B2" w:rsidRPr="009F0591">
        <w:rPr>
          <w:color w:val="000000" w:themeColor="text1"/>
        </w:rPr>
        <w:t xml:space="preserve"> </w:t>
      </w:r>
    </w:p>
    <w:p w:rsidR="00E35A11" w:rsidRPr="00C43C6A" w:rsidRDefault="00E35A11" w:rsidP="00E35A11">
      <w:pPr>
        <w:ind w:left="360" w:right="52" w:firstLine="0"/>
        <w:jc w:val="both"/>
        <w:rPr>
          <w:color w:val="000000" w:themeColor="text1"/>
        </w:rPr>
      </w:pPr>
    </w:p>
    <w:p w:rsidR="00576ED9" w:rsidRPr="00C43C6A" w:rsidRDefault="00760C1B" w:rsidP="009133FB">
      <w:pPr>
        <w:pStyle w:val="Heading1"/>
        <w:ind w:left="-5"/>
        <w:jc w:val="both"/>
        <w:rPr>
          <w:color w:val="000000" w:themeColor="text1"/>
        </w:rPr>
      </w:pPr>
      <w:r w:rsidRPr="00C43C6A">
        <w:rPr>
          <w:color w:val="000000" w:themeColor="text1"/>
        </w:rPr>
        <w:t xml:space="preserve">Other Responsibilities (including for non-Social Care agencies) </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C43C6A" w:rsidRDefault="00760C1B" w:rsidP="009133FB">
      <w:pPr>
        <w:numPr>
          <w:ilvl w:val="0"/>
          <w:numId w:val="4"/>
        </w:numPr>
        <w:ind w:right="52" w:hanging="360"/>
        <w:jc w:val="both"/>
        <w:rPr>
          <w:color w:val="000000" w:themeColor="text1"/>
        </w:rPr>
      </w:pPr>
      <w:r w:rsidRPr="00C43C6A">
        <w:rPr>
          <w:color w:val="000000" w:themeColor="text1"/>
        </w:rPr>
        <w:t xml:space="preserve">Although much of the procedure set out above concerns the actions of the Children’s Social Care teams, responding to Children in Need </w:t>
      </w:r>
      <w:r w:rsidR="00372F80">
        <w:rPr>
          <w:color w:val="000000" w:themeColor="text1"/>
        </w:rPr>
        <w:t xml:space="preserve">and children subject to a </w:t>
      </w:r>
      <w:r w:rsidR="00266869">
        <w:rPr>
          <w:color w:val="000000" w:themeColor="text1"/>
        </w:rPr>
        <w:t>C</w:t>
      </w:r>
      <w:r w:rsidR="00372F80">
        <w:rPr>
          <w:color w:val="000000" w:themeColor="text1"/>
        </w:rPr>
        <w:t xml:space="preserve">hild </w:t>
      </w:r>
      <w:r w:rsidR="00266869">
        <w:rPr>
          <w:color w:val="000000" w:themeColor="text1"/>
        </w:rPr>
        <w:t>P</w:t>
      </w:r>
      <w:r w:rsidR="00372F80">
        <w:rPr>
          <w:color w:val="000000" w:themeColor="text1"/>
        </w:rPr>
        <w:t xml:space="preserve">rotection plan </w:t>
      </w:r>
      <w:r w:rsidRPr="00C43C6A">
        <w:rPr>
          <w:color w:val="000000" w:themeColor="text1"/>
        </w:rPr>
        <w:t xml:space="preserve">is a multi-agency responsibility and all agencies must be alert to the circumstances of a Child in Need.  </w:t>
      </w:r>
      <w:r w:rsidR="003726B2">
        <w:rPr>
          <w:color w:val="000000" w:themeColor="text1"/>
        </w:rPr>
        <w:t>The referring local authority is responsible for requesting that partner agencies</w:t>
      </w:r>
      <w:r w:rsidR="000C00D2" w:rsidRPr="00C43C6A">
        <w:rPr>
          <w:color w:val="000000" w:themeColor="text1"/>
        </w:rPr>
        <w:t xml:space="preserve"> notify their counterparts in the new area</w:t>
      </w:r>
      <w:r w:rsidR="003726B2">
        <w:rPr>
          <w:color w:val="000000" w:themeColor="text1"/>
        </w:rPr>
        <w:t>.</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C43C6A" w:rsidRDefault="00760C1B" w:rsidP="009133FB">
      <w:pPr>
        <w:numPr>
          <w:ilvl w:val="0"/>
          <w:numId w:val="4"/>
        </w:numPr>
        <w:ind w:right="52" w:hanging="360"/>
        <w:jc w:val="both"/>
        <w:rPr>
          <w:color w:val="000000" w:themeColor="text1"/>
        </w:rPr>
      </w:pPr>
      <w:r w:rsidRPr="00C43C6A">
        <w:rPr>
          <w:color w:val="000000" w:themeColor="text1"/>
        </w:rPr>
        <w:t xml:space="preserve">Any agency other than </w:t>
      </w:r>
      <w:r w:rsidR="008B387F">
        <w:rPr>
          <w:color w:val="000000" w:themeColor="text1"/>
        </w:rPr>
        <w:t xml:space="preserve">Children’s </w:t>
      </w:r>
      <w:r w:rsidRPr="00C43C6A">
        <w:rPr>
          <w:color w:val="000000" w:themeColor="text1"/>
        </w:rPr>
        <w:t xml:space="preserve">Social Care, that becomes aware of a child in their area who was/is a Child in Need </w:t>
      </w:r>
      <w:r w:rsidR="00372F80">
        <w:rPr>
          <w:color w:val="000000" w:themeColor="text1"/>
        </w:rPr>
        <w:t xml:space="preserve">or subject to a child protection plan </w:t>
      </w:r>
      <w:r w:rsidRPr="00C43C6A">
        <w:rPr>
          <w:color w:val="000000" w:themeColor="text1"/>
        </w:rPr>
        <w:t xml:space="preserve">from another area, should alert </w:t>
      </w:r>
      <w:r w:rsidR="008B387F">
        <w:rPr>
          <w:color w:val="000000" w:themeColor="text1"/>
        </w:rPr>
        <w:t xml:space="preserve">Children’s </w:t>
      </w:r>
      <w:r w:rsidRPr="00C43C6A">
        <w:rPr>
          <w:color w:val="000000" w:themeColor="text1"/>
        </w:rPr>
        <w:t>Social Care in their (receiving) area that they are aware of the move. This responsibility is intended to provide assurance and act as a safeguard within local partnerships.  This may be necessary where other agencies become aware of a child where no referral has been made from</w:t>
      </w:r>
      <w:r w:rsidR="008B387F">
        <w:rPr>
          <w:color w:val="000000" w:themeColor="text1"/>
        </w:rPr>
        <w:t xml:space="preserve"> Children’s </w:t>
      </w:r>
      <w:r w:rsidRPr="00C43C6A">
        <w:rPr>
          <w:color w:val="000000" w:themeColor="text1"/>
        </w:rPr>
        <w:t xml:space="preserve">Social Care in the previous area due to timescales of the move or them not being informed as to the whereabouts of the family following a move.    </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C43C6A" w:rsidRDefault="00760C1B" w:rsidP="009133FB">
      <w:pPr>
        <w:numPr>
          <w:ilvl w:val="0"/>
          <w:numId w:val="4"/>
        </w:numPr>
        <w:ind w:right="52" w:hanging="360"/>
        <w:jc w:val="both"/>
        <w:rPr>
          <w:color w:val="000000" w:themeColor="text1"/>
        </w:rPr>
      </w:pPr>
      <w:r w:rsidRPr="00C43C6A">
        <w:rPr>
          <w:color w:val="000000" w:themeColor="text1"/>
        </w:rPr>
        <w:t>If a Child in Need</w:t>
      </w:r>
      <w:r w:rsidR="00372F80">
        <w:rPr>
          <w:color w:val="000000" w:themeColor="text1"/>
        </w:rPr>
        <w:t xml:space="preserve"> or child subject to a child protection plan</w:t>
      </w:r>
      <w:r w:rsidRPr="00C43C6A">
        <w:rPr>
          <w:color w:val="000000" w:themeColor="text1"/>
        </w:rPr>
        <w:t xml:space="preserve"> leaves for an unknown </w:t>
      </w:r>
      <w:r w:rsidR="008B387F" w:rsidRPr="00C43C6A">
        <w:rPr>
          <w:color w:val="000000" w:themeColor="text1"/>
        </w:rPr>
        <w:t>location,</w:t>
      </w:r>
      <w:r w:rsidRPr="00C43C6A">
        <w:rPr>
          <w:color w:val="000000" w:themeColor="text1"/>
        </w:rPr>
        <w:t xml:space="preserve"> then the originating Local Authority must consider issuing an alert, subject to risk assessment. </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C43C6A" w:rsidRDefault="000C00D2" w:rsidP="009133FB">
      <w:pPr>
        <w:numPr>
          <w:ilvl w:val="0"/>
          <w:numId w:val="4"/>
        </w:numPr>
        <w:ind w:right="52" w:hanging="360"/>
        <w:jc w:val="both"/>
        <w:rPr>
          <w:color w:val="000000" w:themeColor="text1"/>
        </w:rPr>
      </w:pPr>
      <w:r w:rsidRPr="00C43C6A">
        <w:rPr>
          <w:color w:val="000000" w:themeColor="text1"/>
        </w:rPr>
        <w:t xml:space="preserve">In nearly all circumstances it is preferable for all children in a family to be the </w:t>
      </w:r>
      <w:r w:rsidR="00721BD2" w:rsidRPr="00C43C6A">
        <w:rPr>
          <w:color w:val="000000" w:themeColor="text1"/>
        </w:rPr>
        <w:t>responsibility</w:t>
      </w:r>
      <w:r w:rsidRPr="00C43C6A">
        <w:rPr>
          <w:color w:val="000000" w:themeColor="text1"/>
        </w:rPr>
        <w:t xml:space="preserve"> of the same local authority. Where there are reasons that preclude this and </w:t>
      </w:r>
      <w:r w:rsidR="00760C1B" w:rsidRPr="00C43C6A">
        <w:rPr>
          <w:color w:val="000000" w:themeColor="text1"/>
        </w:rPr>
        <w:t xml:space="preserve">two or more children in a family live in different areas then the planning should be as consistent as possible across both areas, subject to this being consistent with the best interests of the children.  </w:t>
      </w:r>
    </w:p>
    <w:p w:rsidR="00576ED9" w:rsidRPr="00C43C6A" w:rsidRDefault="00760C1B" w:rsidP="009133FB">
      <w:pPr>
        <w:spacing w:after="9" w:line="259" w:lineRule="auto"/>
        <w:ind w:left="720" w:firstLine="0"/>
        <w:jc w:val="both"/>
        <w:rPr>
          <w:color w:val="000000" w:themeColor="text1"/>
        </w:rPr>
      </w:pPr>
      <w:r w:rsidRPr="00C43C6A">
        <w:rPr>
          <w:b/>
          <w:color w:val="000000" w:themeColor="text1"/>
        </w:rPr>
        <w:t xml:space="preserve"> </w:t>
      </w:r>
    </w:p>
    <w:p w:rsidR="00576ED9" w:rsidRPr="00C43C6A" w:rsidRDefault="00760C1B" w:rsidP="009133FB">
      <w:pPr>
        <w:spacing w:after="8" w:line="259" w:lineRule="auto"/>
        <w:ind w:left="-5"/>
        <w:jc w:val="both"/>
        <w:rPr>
          <w:color w:val="000000" w:themeColor="text1"/>
        </w:rPr>
      </w:pPr>
      <w:r w:rsidRPr="00C43C6A">
        <w:rPr>
          <w:b/>
          <w:color w:val="000000" w:themeColor="text1"/>
        </w:rPr>
        <w:t xml:space="preserve">Action to be taken in cases where there is dispute or delay in case transfer. </w:t>
      </w:r>
      <w:r w:rsidRPr="00C43C6A">
        <w:rPr>
          <w:color w:val="000000" w:themeColor="text1"/>
        </w:rPr>
        <w:t xml:space="preserve"> </w:t>
      </w:r>
    </w:p>
    <w:p w:rsidR="00576ED9" w:rsidRPr="00C43C6A" w:rsidRDefault="00760C1B" w:rsidP="009133FB">
      <w:pPr>
        <w:spacing w:after="40" w:line="259" w:lineRule="auto"/>
        <w:ind w:left="720" w:firstLine="0"/>
        <w:jc w:val="both"/>
        <w:rPr>
          <w:color w:val="000000" w:themeColor="text1"/>
        </w:rPr>
      </w:pPr>
      <w:r w:rsidRPr="00C43C6A">
        <w:rPr>
          <w:color w:val="000000" w:themeColor="text1"/>
        </w:rPr>
        <w:t xml:space="preserve"> </w:t>
      </w:r>
    </w:p>
    <w:p w:rsidR="00576ED9" w:rsidRPr="00C43C6A" w:rsidRDefault="000C00D2" w:rsidP="009133FB">
      <w:pPr>
        <w:numPr>
          <w:ilvl w:val="0"/>
          <w:numId w:val="4"/>
        </w:numPr>
        <w:ind w:right="52" w:hanging="360"/>
        <w:jc w:val="both"/>
        <w:rPr>
          <w:color w:val="000000" w:themeColor="text1"/>
        </w:rPr>
      </w:pPr>
      <w:r w:rsidRPr="00C43C6A">
        <w:rPr>
          <w:color w:val="000000" w:themeColor="text1"/>
        </w:rPr>
        <w:t>Please follow the escalation process set out in this policy</w:t>
      </w:r>
      <w:r w:rsidR="00E41029">
        <w:rPr>
          <w:color w:val="000000" w:themeColor="text1"/>
        </w:rPr>
        <w:t>.</w:t>
      </w:r>
    </w:p>
    <w:p w:rsidR="000C00D2" w:rsidRPr="00C43C6A" w:rsidRDefault="000C00D2" w:rsidP="009133FB">
      <w:pPr>
        <w:ind w:left="360" w:right="52" w:firstLine="0"/>
        <w:jc w:val="both"/>
        <w:rPr>
          <w:color w:val="000000" w:themeColor="text1"/>
        </w:rPr>
      </w:pPr>
    </w:p>
    <w:p w:rsidR="00576ED9" w:rsidRPr="00C43C6A" w:rsidRDefault="00760C1B" w:rsidP="009133FB">
      <w:pPr>
        <w:numPr>
          <w:ilvl w:val="0"/>
          <w:numId w:val="4"/>
        </w:numPr>
        <w:ind w:right="52" w:hanging="360"/>
        <w:jc w:val="both"/>
        <w:rPr>
          <w:color w:val="000000" w:themeColor="text1"/>
        </w:rPr>
      </w:pPr>
      <w:r w:rsidRPr="00C43C6A">
        <w:rPr>
          <w:color w:val="000000" w:themeColor="text1"/>
        </w:rPr>
        <w:t>For clarity, agreed outcomes will be recorded and shared via email to ensure decision making captured on each local authority electronic recording system.</w:t>
      </w:r>
    </w:p>
    <w:p w:rsidR="00576ED9" w:rsidRPr="00C43C6A" w:rsidRDefault="00760C1B" w:rsidP="009133FB">
      <w:pPr>
        <w:spacing w:after="40" w:line="259" w:lineRule="auto"/>
        <w:ind w:left="360" w:firstLine="0"/>
        <w:jc w:val="both"/>
        <w:rPr>
          <w:color w:val="000000" w:themeColor="text1"/>
        </w:rPr>
      </w:pPr>
      <w:r w:rsidRPr="00C43C6A">
        <w:rPr>
          <w:color w:val="000000" w:themeColor="text1"/>
        </w:rPr>
        <w:t xml:space="preserve"> </w:t>
      </w:r>
    </w:p>
    <w:p w:rsidR="00576ED9" w:rsidRPr="00C43C6A" w:rsidRDefault="00760C1B" w:rsidP="009133FB">
      <w:pPr>
        <w:numPr>
          <w:ilvl w:val="0"/>
          <w:numId w:val="4"/>
        </w:numPr>
        <w:spacing w:after="0" w:line="267" w:lineRule="auto"/>
        <w:ind w:right="52" w:hanging="360"/>
        <w:jc w:val="both"/>
        <w:rPr>
          <w:color w:val="000000" w:themeColor="text1"/>
        </w:rPr>
      </w:pPr>
      <w:r w:rsidRPr="00C43C6A">
        <w:rPr>
          <w:color w:val="000000" w:themeColor="text1"/>
        </w:rPr>
        <w:t xml:space="preserve">Until </w:t>
      </w:r>
      <w:r w:rsidR="00E41029">
        <w:rPr>
          <w:color w:val="000000" w:themeColor="text1"/>
        </w:rPr>
        <w:t xml:space="preserve">the </w:t>
      </w:r>
      <w:r w:rsidRPr="00C43C6A">
        <w:rPr>
          <w:color w:val="000000" w:themeColor="text1"/>
        </w:rPr>
        <w:t>dispute is resolved, case responsibility/oversight and decision making will remain with transferring local authority for the child to respond to any concern or safeguarding issue. A dispute resolution flowchart is appended overleaf.</w:t>
      </w:r>
    </w:p>
    <w:p w:rsidR="00523097" w:rsidRPr="00C43C6A" w:rsidRDefault="00523097" w:rsidP="009133FB">
      <w:pPr>
        <w:pStyle w:val="ListParagraph"/>
        <w:jc w:val="both"/>
        <w:rPr>
          <w:color w:val="000000" w:themeColor="text1"/>
        </w:rPr>
      </w:pPr>
    </w:p>
    <w:p w:rsidR="00E41029" w:rsidRDefault="00523097" w:rsidP="009133FB">
      <w:pPr>
        <w:numPr>
          <w:ilvl w:val="0"/>
          <w:numId w:val="4"/>
        </w:numPr>
        <w:spacing w:after="0" w:line="267" w:lineRule="auto"/>
        <w:ind w:right="52" w:hanging="360"/>
        <w:jc w:val="both"/>
        <w:rPr>
          <w:color w:val="000000" w:themeColor="text1"/>
        </w:rPr>
      </w:pPr>
      <w:r w:rsidRPr="00C43C6A">
        <w:rPr>
          <w:color w:val="000000" w:themeColor="text1"/>
        </w:rPr>
        <w:t xml:space="preserve">If no agreement can be reached at Team manager level the issue will be escalated </w:t>
      </w:r>
      <w:r w:rsidR="00E41029">
        <w:rPr>
          <w:color w:val="000000" w:themeColor="text1"/>
        </w:rPr>
        <w:t xml:space="preserve">to the next </w:t>
      </w:r>
      <w:r w:rsidR="00CD6021">
        <w:rPr>
          <w:color w:val="000000" w:themeColor="text1"/>
        </w:rPr>
        <w:t>tier of managers</w:t>
      </w:r>
      <w:r w:rsidRPr="00C43C6A">
        <w:rPr>
          <w:color w:val="000000" w:themeColor="text1"/>
        </w:rPr>
        <w:t xml:space="preserve"> </w:t>
      </w:r>
      <w:r w:rsidR="00E41029">
        <w:rPr>
          <w:color w:val="000000" w:themeColor="text1"/>
        </w:rPr>
        <w:t>for a response within</w:t>
      </w:r>
      <w:r w:rsidR="00E92A20" w:rsidRPr="00C43C6A">
        <w:rPr>
          <w:color w:val="000000" w:themeColor="text1"/>
        </w:rPr>
        <w:t xml:space="preserve"> a maximum of</w:t>
      </w:r>
      <w:r w:rsidRPr="00C43C6A">
        <w:rPr>
          <w:color w:val="000000" w:themeColor="text1"/>
        </w:rPr>
        <w:t xml:space="preserve"> 5</w:t>
      </w:r>
      <w:r w:rsidR="00CD6021">
        <w:rPr>
          <w:color w:val="000000" w:themeColor="text1"/>
        </w:rPr>
        <w:t xml:space="preserve"> working</w:t>
      </w:r>
      <w:r w:rsidRPr="00C43C6A">
        <w:rPr>
          <w:color w:val="000000" w:themeColor="text1"/>
        </w:rPr>
        <w:t xml:space="preserve"> days.</w:t>
      </w:r>
      <w:r w:rsidR="00E92A20" w:rsidRPr="00C43C6A">
        <w:rPr>
          <w:color w:val="000000" w:themeColor="text1"/>
        </w:rPr>
        <w:t xml:space="preserve"> For children subject to a </w:t>
      </w:r>
      <w:r w:rsidR="008B387F">
        <w:rPr>
          <w:color w:val="000000" w:themeColor="text1"/>
        </w:rPr>
        <w:t xml:space="preserve">child </w:t>
      </w:r>
      <w:r w:rsidR="00E92A20" w:rsidRPr="00C43C6A">
        <w:rPr>
          <w:color w:val="000000" w:themeColor="text1"/>
        </w:rPr>
        <w:t>protection plan the Service manager for the Child Protection Chair service will be the initial point of escalation by the Team Manager</w:t>
      </w:r>
      <w:r w:rsidR="00E41029">
        <w:rPr>
          <w:color w:val="000000" w:themeColor="text1"/>
        </w:rPr>
        <w:t>. F</w:t>
      </w:r>
      <w:r w:rsidR="00E92A20" w:rsidRPr="00C43C6A">
        <w:rPr>
          <w:color w:val="000000" w:themeColor="text1"/>
        </w:rPr>
        <w:t xml:space="preserve">or children in need it will be the </w:t>
      </w:r>
      <w:r w:rsidR="00912071" w:rsidRPr="00C43C6A">
        <w:rPr>
          <w:color w:val="000000" w:themeColor="text1"/>
        </w:rPr>
        <w:t xml:space="preserve">Locality/Area </w:t>
      </w:r>
      <w:r w:rsidR="00E92A20" w:rsidRPr="00C43C6A">
        <w:rPr>
          <w:color w:val="000000" w:themeColor="text1"/>
        </w:rPr>
        <w:t xml:space="preserve">Service Manager. </w:t>
      </w:r>
    </w:p>
    <w:p w:rsidR="00E41029" w:rsidRDefault="00E41029" w:rsidP="00E41029">
      <w:pPr>
        <w:pStyle w:val="ListParagraph"/>
        <w:rPr>
          <w:color w:val="000000" w:themeColor="text1"/>
        </w:rPr>
      </w:pPr>
    </w:p>
    <w:p w:rsidR="00D92F69" w:rsidRPr="00C43C6A" w:rsidRDefault="00523097" w:rsidP="009133FB">
      <w:pPr>
        <w:numPr>
          <w:ilvl w:val="0"/>
          <w:numId w:val="4"/>
        </w:numPr>
        <w:spacing w:after="0" w:line="267" w:lineRule="auto"/>
        <w:ind w:right="52" w:hanging="360"/>
        <w:jc w:val="both"/>
        <w:rPr>
          <w:color w:val="000000" w:themeColor="text1"/>
        </w:rPr>
      </w:pPr>
      <w:r w:rsidRPr="00C43C6A">
        <w:rPr>
          <w:color w:val="000000" w:themeColor="text1"/>
        </w:rPr>
        <w:t xml:space="preserve">If no agreement is reached at that level the issue will again be escalated after 5 </w:t>
      </w:r>
      <w:r w:rsidR="00CD6021">
        <w:rPr>
          <w:color w:val="000000" w:themeColor="text1"/>
        </w:rPr>
        <w:t xml:space="preserve">working </w:t>
      </w:r>
      <w:r w:rsidRPr="00C43C6A">
        <w:rPr>
          <w:color w:val="000000" w:themeColor="text1"/>
        </w:rPr>
        <w:t>days. This principle of escalation will continue</w:t>
      </w:r>
      <w:r w:rsidR="00E92A20" w:rsidRPr="00C43C6A">
        <w:rPr>
          <w:color w:val="000000" w:themeColor="text1"/>
        </w:rPr>
        <w:t>, as will the expectation that each escalation will take place a maximum of 5 working days, T</w:t>
      </w:r>
      <w:r w:rsidRPr="00C43C6A">
        <w:rPr>
          <w:color w:val="000000" w:themeColor="text1"/>
        </w:rPr>
        <w:t xml:space="preserve">he final decision will be made by the respective DCS, although it is anticipated that the dispute will be resolved at a much lower level in all but the most contentious case. All case escalations will be recorded on the child’s file by both authorities. </w:t>
      </w:r>
    </w:p>
    <w:p w:rsidR="00D92F69" w:rsidRPr="00C43C6A" w:rsidRDefault="00D92F69" w:rsidP="009133FB">
      <w:pPr>
        <w:pStyle w:val="ListParagraph"/>
        <w:jc w:val="both"/>
        <w:rPr>
          <w:color w:val="000000" w:themeColor="text1"/>
        </w:rPr>
      </w:pPr>
    </w:p>
    <w:p w:rsidR="00523097" w:rsidRPr="00C43C6A" w:rsidRDefault="00D92F69" w:rsidP="009133FB">
      <w:pPr>
        <w:numPr>
          <w:ilvl w:val="0"/>
          <w:numId w:val="4"/>
        </w:numPr>
        <w:spacing w:after="0" w:line="267" w:lineRule="auto"/>
        <w:ind w:right="52" w:hanging="360"/>
        <w:jc w:val="both"/>
        <w:rPr>
          <w:color w:val="000000" w:themeColor="text1"/>
        </w:rPr>
      </w:pPr>
      <w:r w:rsidRPr="00C43C6A">
        <w:rPr>
          <w:color w:val="000000" w:themeColor="text1"/>
        </w:rPr>
        <w:t xml:space="preserve">If the child/ren is considered to be </w:t>
      </w:r>
      <w:r w:rsidR="00912071" w:rsidRPr="00C43C6A">
        <w:rPr>
          <w:color w:val="000000" w:themeColor="text1"/>
        </w:rPr>
        <w:t xml:space="preserve">at </w:t>
      </w:r>
      <w:r w:rsidRPr="00C43C6A">
        <w:rPr>
          <w:color w:val="000000" w:themeColor="text1"/>
        </w:rPr>
        <w:t>immediate risk of harm escalation timescales will be shortened and a decision re</w:t>
      </w:r>
      <w:r w:rsidR="00E41029">
        <w:rPr>
          <w:color w:val="000000" w:themeColor="text1"/>
        </w:rPr>
        <w:t>garding</w:t>
      </w:r>
      <w:r w:rsidRPr="00C43C6A">
        <w:rPr>
          <w:color w:val="000000" w:themeColor="text1"/>
        </w:rPr>
        <w:t xml:space="preserve"> lead responsibility will be made within 24 hours. </w:t>
      </w:r>
    </w:p>
    <w:p w:rsidR="00576ED9" w:rsidRPr="00C43C6A" w:rsidRDefault="00760C1B">
      <w:pPr>
        <w:spacing w:after="9" w:line="259" w:lineRule="auto"/>
        <w:ind w:left="0" w:firstLine="0"/>
        <w:rPr>
          <w:color w:val="000000" w:themeColor="text1"/>
        </w:rPr>
      </w:pPr>
      <w:r w:rsidRPr="00C43C6A">
        <w:rPr>
          <w:b/>
          <w:color w:val="000000" w:themeColor="text1"/>
        </w:rPr>
        <w:t xml:space="preserve"> </w:t>
      </w:r>
    </w:p>
    <w:p w:rsidR="00576ED9" w:rsidRPr="00C43C6A" w:rsidRDefault="00760C1B" w:rsidP="00721BD2">
      <w:pPr>
        <w:spacing w:after="7" w:line="259" w:lineRule="auto"/>
        <w:ind w:left="0" w:firstLine="0"/>
        <w:rPr>
          <w:color w:val="000000" w:themeColor="text1"/>
        </w:rPr>
      </w:pPr>
      <w:r w:rsidRPr="00C43C6A">
        <w:rPr>
          <w:b/>
          <w:color w:val="000000" w:themeColor="text1"/>
        </w:rPr>
        <w:t xml:space="preserve"> </w:t>
      </w:r>
    </w:p>
    <w:p w:rsidR="00576ED9" w:rsidRPr="00C43C6A" w:rsidRDefault="00760C1B">
      <w:pPr>
        <w:spacing w:after="9" w:line="259" w:lineRule="auto"/>
        <w:ind w:left="0" w:firstLine="0"/>
        <w:rPr>
          <w:color w:val="000000" w:themeColor="text1"/>
        </w:rPr>
      </w:pPr>
      <w:r w:rsidRPr="00C43C6A">
        <w:rPr>
          <w:b/>
          <w:color w:val="000000" w:themeColor="text1"/>
        </w:rPr>
        <w:t xml:space="preserve"> </w:t>
      </w:r>
    </w:p>
    <w:p w:rsidR="00576ED9" w:rsidRDefault="00266F6D">
      <w:pPr>
        <w:spacing w:after="6" w:line="259" w:lineRule="auto"/>
        <w:ind w:left="0" w:firstLine="0"/>
        <w:rPr>
          <w:bCs/>
          <w:color w:val="000000" w:themeColor="text1"/>
        </w:rPr>
      </w:pPr>
      <w:r>
        <w:rPr>
          <w:b/>
          <w:color w:val="000000" w:themeColor="text1"/>
        </w:rPr>
        <w:t xml:space="preserve">DATED: </w:t>
      </w:r>
      <w:r>
        <w:rPr>
          <w:bCs/>
          <w:color w:val="000000" w:themeColor="text1"/>
        </w:rPr>
        <w:t>18.08.2025</w:t>
      </w:r>
    </w:p>
    <w:p w:rsidR="00266F6D" w:rsidRPr="00266F6D" w:rsidRDefault="00266F6D">
      <w:pPr>
        <w:spacing w:after="6" w:line="259" w:lineRule="auto"/>
        <w:ind w:left="0" w:firstLine="0"/>
        <w:rPr>
          <w:bCs/>
          <w:color w:val="000000" w:themeColor="text1"/>
        </w:rPr>
      </w:pPr>
      <w:r>
        <w:rPr>
          <w:b/>
          <w:color w:val="000000" w:themeColor="text1"/>
        </w:rPr>
        <w:t xml:space="preserve">DUE FOR REVIEW: </w:t>
      </w:r>
      <w:r>
        <w:rPr>
          <w:bCs/>
          <w:color w:val="000000" w:themeColor="text1"/>
        </w:rPr>
        <w:t>18.08.2027</w:t>
      </w:r>
    </w:p>
    <w:p w:rsidR="00576ED9" w:rsidRPr="00C43C6A" w:rsidRDefault="00760C1B">
      <w:pPr>
        <w:spacing w:after="9" w:line="259" w:lineRule="auto"/>
        <w:ind w:left="0" w:firstLine="0"/>
        <w:rPr>
          <w:color w:val="000000" w:themeColor="text1"/>
        </w:rPr>
      </w:pPr>
      <w:r w:rsidRPr="00C43C6A">
        <w:rPr>
          <w:b/>
          <w:color w:val="000000" w:themeColor="text1"/>
        </w:rPr>
        <w:t xml:space="preserve"> </w:t>
      </w:r>
    </w:p>
    <w:p w:rsidR="00576ED9" w:rsidRPr="00C43C6A" w:rsidRDefault="00760C1B" w:rsidP="00D92F69">
      <w:pPr>
        <w:spacing w:after="0" w:line="259" w:lineRule="auto"/>
        <w:ind w:left="0" w:firstLine="0"/>
        <w:rPr>
          <w:color w:val="000000" w:themeColor="text1"/>
        </w:rPr>
      </w:pPr>
      <w:r w:rsidRPr="00C43C6A">
        <w:rPr>
          <w:b/>
          <w:color w:val="000000" w:themeColor="text1"/>
        </w:rPr>
        <w:t xml:space="preserve"> </w:t>
      </w:r>
      <w:r w:rsidRPr="00C43C6A">
        <w:rPr>
          <w:b/>
          <w:color w:val="000000" w:themeColor="text1"/>
          <w:sz w:val="20"/>
        </w:rPr>
        <w:t xml:space="preserve"> </w:t>
      </w:r>
      <w:r w:rsidRPr="00C43C6A">
        <w:rPr>
          <w:color w:val="000000" w:themeColor="text1"/>
          <w:sz w:val="23"/>
        </w:rPr>
        <w:t xml:space="preserve"> </w:t>
      </w:r>
    </w:p>
    <w:sectPr w:rsidR="00576ED9" w:rsidRPr="00C43C6A" w:rsidSect="00266F6D">
      <w:headerReference w:type="even" r:id="rId8"/>
      <w:headerReference w:type="default" r:id="rId9"/>
      <w:footerReference w:type="default" r:id="rId10"/>
      <w:headerReference w:type="first" r:id="rId11"/>
      <w:pgSz w:w="11906" w:h="16838"/>
      <w:pgMar w:top="1445" w:right="1020" w:bottom="1438" w:left="1080" w:header="79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66F" w:rsidRDefault="0019366F">
      <w:pPr>
        <w:spacing w:after="0" w:line="240" w:lineRule="auto"/>
      </w:pPr>
      <w:r>
        <w:separator/>
      </w:r>
    </w:p>
  </w:endnote>
  <w:endnote w:type="continuationSeparator" w:id="0">
    <w:p w:rsidR="0019366F" w:rsidRDefault="0019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30946"/>
      <w:docPartObj>
        <w:docPartGallery w:val="Page Numbers (Bottom of Page)"/>
        <w:docPartUnique/>
      </w:docPartObj>
    </w:sdtPr>
    <w:sdtEndPr/>
    <w:sdtContent>
      <w:p w:rsidR="00D92F69" w:rsidRDefault="00D92F69">
        <w:pPr>
          <w:pStyle w:val="Footer"/>
          <w:jc w:val="center"/>
        </w:pPr>
        <w:r>
          <w:fldChar w:fldCharType="begin"/>
        </w:r>
        <w:r>
          <w:instrText>PAGE   \* MERGEFORMAT</w:instrText>
        </w:r>
        <w:r>
          <w:fldChar w:fldCharType="separate"/>
        </w:r>
        <w:r>
          <w:t>2</w:t>
        </w:r>
        <w:r>
          <w:fldChar w:fldCharType="end"/>
        </w:r>
      </w:p>
      <w:p w:rsidR="00D92F69" w:rsidRDefault="00D92F69">
        <w:pPr>
          <w:pStyle w:val="Footer"/>
          <w:jc w:val="center"/>
        </w:pPr>
        <w:r>
          <w:t>V1 Aug 24</w:t>
        </w:r>
      </w:p>
      <w:p w:rsidR="00D92F69" w:rsidRDefault="0019366F">
        <w:pPr>
          <w:pStyle w:val="Footer"/>
          <w:jc w:val="center"/>
        </w:pPr>
      </w:p>
    </w:sdtContent>
  </w:sdt>
  <w:p w:rsidR="00D92F69" w:rsidRDefault="00D92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66F" w:rsidRDefault="0019366F">
      <w:pPr>
        <w:spacing w:after="0" w:line="256" w:lineRule="auto"/>
        <w:ind w:left="0" w:firstLine="0"/>
      </w:pPr>
      <w:r>
        <w:separator/>
      </w:r>
    </w:p>
  </w:footnote>
  <w:footnote w:type="continuationSeparator" w:id="0">
    <w:p w:rsidR="0019366F" w:rsidRDefault="0019366F">
      <w:pPr>
        <w:spacing w:after="0" w:line="256" w:lineRule="auto"/>
        <w:ind w:left="0" w:firstLine="0"/>
      </w:pPr>
      <w:r>
        <w:continuationSeparator/>
      </w:r>
    </w:p>
  </w:footnote>
  <w:footnote w:id="1">
    <w:p w:rsidR="00576ED9" w:rsidRDefault="00760C1B">
      <w:pPr>
        <w:pStyle w:val="footnotedescription"/>
        <w:spacing w:line="256" w:lineRule="auto"/>
      </w:pPr>
      <w:r>
        <w:rPr>
          <w:rStyle w:val="footnotemark"/>
        </w:rPr>
        <w:footnoteRef/>
      </w:r>
      <w:r>
        <w:t xml:space="preserve"> Temporary is taken to mean where the child(ren) and their family move, or plan to move, to an address is which is temporary, e.g. a refuge, supported housing provision or other temporary accommodation.</w:t>
      </w:r>
      <w:r>
        <w:rPr>
          <w:color w:val="000000"/>
          <w:sz w:val="20"/>
        </w:rPr>
        <w:t xml:space="preserve"> </w:t>
      </w:r>
    </w:p>
  </w:footnote>
  <w:footnote w:id="2">
    <w:p w:rsidR="00576ED9" w:rsidRDefault="00760C1B">
      <w:pPr>
        <w:pStyle w:val="footnotedescription"/>
        <w:spacing w:after="1"/>
      </w:pPr>
      <w:r>
        <w:rPr>
          <w:rStyle w:val="footnotemark"/>
        </w:rPr>
        <w:footnoteRef/>
      </w:r>
      <w:r>
        <w:t xml:space="preserve"> The term ‘Assessment’ is used throughout to ensure consistency with national recording practice including the </w:t>
      </w:r>
    </w:p>
    <w:p w:rsidR="00576ED9" w:rsidRDefault="00760C1B">
      <w:pPr>
        <w:pStyle w:val="footnotedescription"/>
        <w:spacing w:line="261" w:lineRule="auto"/>
      </w:pPr>
      <w:r>
        <w:t xml:space="preserve">Department for Education Children in Need Census.  Local terminology such as ‘Child and Family Assessment’ ‘Single Assessment’ and ‘Social Work Assessment’ should all be taken to be synonymous – this list is not intended to be exhaustive. </w:t>
      </w:r>
      <w:r>
        <w:rPr>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D9" w:rsidRDefault="00760C1B">
    <w:pPr>
      <w:spacing w:after="0" w:line="259" w:lineRule="auto"/>
      <w:ind w:left="0" w:firstLine="0"/>
    </w:pPr>
    <w:r>
      <w:rPr>
        <w:noProof/>
      </w:rPr>
      <w:drawing>
        <wp:anchor distT="0" distB="0" distL="114300" distR="114300" simplePos="0" relativeHeight="251656704" behindDoc="0" locked="0" layoutInCell="1" allowOverlap="0" wp14:anchorId="5938A0D2" wp14:editId="6C7E842F">
          <wp:simplePos x="0" y="0"/>
          <wp:positionH relativeFrom="page">
            <wp:posOffset>4914900</wp:posOffset>
          </wp:positionH>
          <wp:positionV relativeFrom="page">
            <wp:posOffset>225425</wp:posOffset>
          </wp:positionV>
          <wp:extent cx="1958340" cy="70167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958340" cy="701675"/>
                  </a:xfrm>
                  <a:prstGeom prst="rect">
                    <a:avLst/>
                  </a:prstGeom>
                </pic:spPr>
              </pic:pic>
            </a:graphicData>
          </a:graphic>
        </wp:anchor>
      </w:drawing>
    </w:r>
    <w:r>
      <w:rPr>
        <w:color w:val="000000"/>
      </w:rPr>
      <w:t xml:space="preserve"> </w:t>
    </w:r>
    <w:r>
      <w:rPr>
        <w:color w:val="000000"/>
      </w:rPr>
      <w:tab/>
      <w:t xml:space="preserve"> </w:t>
    </w:r>
    <w:r>
      <w:rPr>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D9" w:rsidRDefault="00266F6D">
    <w:pPr>
      <w:spacing w:after="0" w:line="259" w:lineRule="auto"/>
      <w:ind w:left="0" w:firstLine="0"/>
      <w:rPr>
        <w:color w:val="000000"/>
      </w:rPr>
    </w:pPr>
    <w:r>
      <w:rPr>
        <w:noProof/>
        <w14:ligatures w14:val="none"/>
      </w:rPr>
      <w:drawing>
        <wp:anchor distT="0" distB="0" distL="114300" distR="114300" simplePos="0" relativeHeight="251660800" behindDoc="1" locked="0" layoutInCell="1" allowOverlap="1" wp14:anchorId="6BD37D9B" wp14:editId="32694FAE">
          <wp:simplePos x="0" y="0"/>
          <wp:positionH relativeFrom="column">
            <wp:posOffset>2692400</wp:posOffset>
          </wp:positionH>
          <wp:positionV relativeFrom="paragraph">
            <wp:posOffset>-334010</wp:posOffset>
          </wp:positionV>
          <wp:extent cx="1799918" cy="736600"/>
          <wp:effectExtent l="0" t="0" r="0" b="6350"/>
          <wp:wrapTight wrapText="bothSides">
            <wp:wrapPolygon edited="0">
              <wp:start x="10289" y="0"/>
              <wp:lineTo x="7774" y="2234"/>
              <wp:lineTo x="6860" y="4469"/>
              <wp:lineTo x="7088" y="8938"/>
              <wp:lineTo x="229" y="13966"/>
              <wp:lineTo x="229" y="20110"/>
              <wp:lineTo x="2058" y="21228"/>
              <wp:lineTo x="5030" y="21228"/>
              <wp:lineTo x="21265" y="21228"/>
              <wp:lineTo x="21265" y="0"/>
              <wp:lineTo x="10289" y="0"/>
            </wp:wrapPolygon>
          </wp:wrapTight>
          <wp:docPr id="1492728158" name="Picture 1" descr="A logo with a group of people holding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28158" name="Picture 1" descr="A logo with a group of people holding a shield&#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9918"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none"/>
      </w:rPr>
      <w:drawing>
        <wp:anchor distT="0" distB="0" distL="114300" distR="114300" simplePos="0" relativeHeight="251659776" behindDoc="1" locked="0" layoutInCell="1" allowOverlap="1" wp14:anchorId="4823B9EA" wp14:editId="55A67009">
          <wp:simplePos x="0" y="0"/>
          <wp:positionH relativeFrom="column">
            <wp:posOffset>1416050</wp:posOffset>
          </wp:positionH>
          <wp:positionV relativeFrom="paragraph">
            <wp:posOffset>-390525</wp:posOffset>
          </wp:positionV>
          <wp:extent cx="1043305" cy="819150"/>
          <wp:effectExtent l="0" t="0" r="4445" b="0"/>
          <wp:wrapTight wrapText="bothSides">
            <wp:wrapPolygon edited="0">
              <wp:start x="0" y="0"/>
              <wp:lineTo x="0" y="21098"/>
              <wp:lineTo x="21298" y="21098"/>
              <wp:lineTo x="21298" y="0"/>
              <wp:lineTo x="0" y="0"/>
            </wp:wrapPolygon>
          </wp:wrapTight>
          <wp:docPr id="5517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4330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6439EC44" wp14:editId="2ADE6796">
          <wp:simplePos x="0" y="0"/>
          <wp:positionH relativeFrom="column">
            <wp:posOffset>4616450</wp:posOffset>
          </wp:positionH>
          <wp:positionV relativeFrom="paragraph">
            <wp:posOffset>-334010</wp:posOffset>
          </wp:positionV>
          <wp:extent cx="2171700" cy="742950"/>
          <wp:effectExtent l="0" t="0" r="0" b="0"/>
          <wp:wrapTight wrapText="bothSides">
            <wp:wrapPolygon edited="0">
              <wp:start x="0" y="0"/>
              <wp:lineTo x="0" y="8862"/>
              <wp:lineTo x="1895" y="10523"/>
              <wp:lineTo x="1895" y="20492"/>
              <wp:lineTo x="2842" y="21046"/>
              <wp:lineTo x="6821" y="21046"/>
              <wp:lineTo x="8337" y="21046"/>
              <wp:lineTo x="15537" y="21046"/>
              <wp:lineTo x="20463" y="19938"/>
              <wp:lineTo x="20274" y="17723"/>
              <wp:lineTo x="21411" y="15508"/>
              <wp:lineTo x="21411" y="3323"/>
              <wp:lineTo x="19705" y="0"/>
              <wp:lineTo x="0" y="0"/>
            </wp:wrapPolygon>
          </wp:wrapTight>
          <wp:docPr id="1556174281" name="Picture 155617428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1824" behindDoc="1" locked="0" layoutInCell="1" allowOverlap="1" wp14:anchorId="11641941" wp14:editId="5097B2E2">
          <wp:simplePos x="0" y="0"/>
          <wp:positionH relativeFrom="column">
            <wp:posOffset>-641350</wp:posOffset>
          </wp:positionH>
          <wp:positionV relativeFrom="paragraph">
            <wp:posOffset>-371475</wp:posOffset>
          </wp:positionV>
          <wp:extent cx="1792605" cy="780415"/>
          <wp:effectExtent l="0" t="0" r="0" b="635"/>
          <wp:wrapTight wrapText="bothSides">
            <wp:wrapPolygon edited="0">
              <wp:start x="0" y="0"/>
              <wp:lineTo x="0" y="21090"/>
              <wp:lineTo x="21348" y="21090"/>
              <wp:lineTo x="213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2605" cy="780415"/>
                  </a:xfrm>
                  <a:prstGeom prst="rect">
                    <a:avLst/>
                  </a:prstGeom>
                  <a:noFill/>
                </pic:spPr>
              </pic:pic>
            </a:graphicData>
          </a:graphic>
          <wp14:sizeRelH relativeFrom="page">
            <wp14:pctWidth>0</wp14:pctWidth>
          </wp14:sizeRelH>
          <wp14:sizeRelV relativeFrom="page">
            <wp14:pctHeight>0</wp14:pctHeight>
          </wp14:sizeRelV>
        </wp:anchor>
      </w:drawing>
    </w:r>
    <w:r w:rsidR="00D92F69">
      <w:rPr>
        <w:color w:val="000000"/>
      </w:rPr>
      <w:t xml:space="preserve"> </w:t>
    </w:r>
    <w:r w:rsidR="00D92F69">
      <w:rPr>
        <w:color w:val="000000"/>
      </w:rPr>
      <w:tab/>
    </w:r>
    <w:r w:rsidR="00D92F69">
      <w:rPr>
        <w:color w:val="000000"/>
      </w:rPr>
      <w:tab/>
      <w:t xml:space="preserve"> </w:t>
    </w:r>
  </w:p>
  <w:p w:rsidR="003014B6" w:rsidRDefault="003014B6">
    <w:pPr>
      <w:spacing w:after="0" w:line="259" w:lineRule="auto"/>
      <w:ind w:left="0" w:firstLine="0"/>
      <w:rPr>
        <w:color w:val="000000"/>
      </w:rPr>
    </w:pPr>
  </w:p>
  <w:p w:rsidR="003014B6" w:rsidRDefault="003014B6" w:rsidP="003014B6">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D9" w:rsidRDefault="00760C1B">
    <w:pPr>
      <w:spacing w:after="0" w:line="259" w:lineRule="auto"/>
      <w:ind w:left="0" w:firstLine="0"/>
    </w:pPr>
    <w:r>
      <w:rPr>
        <w:noProof/>
      </w:rPr>
      <w:drawing>
        <wp:anchor distT="0" distB="0" distL="114300" distR="114300" simplePos="0" relativeHeight="251657728" behindDoc="0" locked="0" layoutInCell="1" allowOverlap="0" wp14:anchorId="75DC9EFB" wp14:editId="2BCBEC9C">
          <wp:simplePos x="0" y="0"/>
          <wp:positionH relativeFrom="page">
            <wp:posOffset>4914900</wp:posOffset>
          </wp:positionH>
          <wp:positionV relativeFrom="page">
            <wp:posOffset>225425</wp:posOffset>
          </wp:positionV>
          <wp:extent cx="1958340" cy="7016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958340" cy="701675"/>
                  </a:xfrm>
                  <a:prstGeom prst="rect">
                    <a:avLst/>
                  </a:prstGeom>
                </pic:spPr>
              </pic:pic>
            </a:graphicData>
          </a:graphic>
        </wp:anchor>
      </w:drawing>
    </w:r>
    <w:r>
      <w:rPr>
        <w:color w:val="000000"/>
      </w:rPr>
      <w:t xml:space="preserve"> </w:t>
    </w:r>
    <w:r>
      <w:rPr>
        <w:color w:val="000000"/>
      </w:rPr>
      <w:tab/>
      <w:t xml:space="preserve"> </w:t>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381"/>
    <w:multiLevelType w:val="hybridMultilevel"/>
    <w:tmpl w:val="23D2854A"/>
    <w:lvl w:ilvl="0" w:tplc="D40A1292">
      <w:start w:val="16"/>
      <w:numFmt w:val="decimal"/>
      <w:lvlText w:val="%1."/>
      <w:lvlJc w:val="left"/>
      <w:pPr>
        <w:ind w:left="36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1" w:tplc="A71C5B10">
      <w:start w:val="1"/>
      <w:numFmt w:val="lowerLetter"/>
      <w:lvlText w:val="%2"/>
      <w:lvlJc w:val="left"/>
      <w:pPr>
        <w:ind w:left="108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2" w:tplc="E1900ACA">
      <w:start w:val="1"/>
      <w:numFmt w:val="lowerRoman"/>
      <w:lvlText w:val="%3"/>
      <w:lvlJc w:val="left"/>
      <w:pPr>
        <w:ind w:left="180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3" w:tplc="3FA4E6CA">
      <w:start w:val="1"/>
      <w:numFmt w:val="decimal"/>
      <w:lvlText w:val="%4"/>
      <w:lvlJc w:val="left"/>
      <w:pPr>
        <w:ind w:left="252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4" w:tplc="56825334">
      <w:start w:val="1"/>
      <w:numFmt w:val="lowerLetter"/>
      <w:lvlText w:val="%5"/>
      <w:lvlJc w:val="left"/>
      <w:pPr>
        <w:ind w:left="324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5" w:tplc="8A126D04">
      <w:start w:val="1"/>
      <w:numFmt w:val="lowerRoman"/>
      <w:lvlText w:val="%6"/>
      <w:lvlJc w:val="left"/>
      <w:pPr>
        <w:ind w:left="396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6" w:tplc="AC083A4E">
      <w:start w:val="1"/>
      <w:numFmt w:val="decimal"/>
      <w:lvlText w:val="%7"/>
      <w:lvlJc w:val="left"/>
      <w:pPr>
        <w:ind w:left="468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7" w:tplc="2A1CD6A8">
      <w:start w:val="1"/>
      <w:numFmt w:val="lowerLetter"/>
      <w:lvlText w:val="%8"/>
      <w:lvlJc w:val="left"/>
      <w:pPr>
        <w:ind w:left="540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8" w:tplc="6332F7C4">
      <w:start w:val="1"/>
      <w:numFmt w:val="lowerRoman"/>
      <w:lvlText w:val="%9"/>
      <w:lvlJc w:val="left"/>
      <w:pPr>
        <w:ind w:left="612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abstractNum>
  <w:abstractNum w:abstractNumId="1" w15:restartNumberingAfterBreak="0">
    <w:nsid w:val="059D15BA"/>
    <w:multiLevelType w:val="hybridMultilevel"/>
    <w:tmpl w:val="6D606CF0"/>
    <w:lvl w:ilvl="0" w:tplc="B53AFA16">
      <w:start w:val="4"/>
      <w:numFmt w:val="decimal"/>
      <w:lvlText w:val="%1."/>
      <w:lvlJc w:val="left"/>
      <w:pPr>
        <w:ind w:left="36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1" w:tplc="EB441E20">
      <w:start w:val="1"/>
      <w:numFmt w:val="lowerRoman"/>
      <w:lvlText w:val="%2."/>
      <w:lvlJc w:val="left"/>
      <w:pPr>
        <w:ind w:left="1163"/>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2" w:tplc="FA4E1D8E">
      <w:start w:val="1"/>
      <w:numFmt w:val="lowerLetter"/>
      <w:lvlText w:val="%3."/>
      <w:lvlJc w:val="left"/>
      <w:pPr>
        <w:ind w:left="180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3" w:tplc="4D5C4C3C">
      <w:start w:val="1"/>
      <w:numFmt w:val="decimal"/>
      <w:lvlText w:val="%4"/>
      <w:lvlJc w:val="left"/>
      <w:pPr>
        <w:ind w:left="252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4" w:tplc="131C5D8C">
      <w:start w:val="1"/>
      <w:numFmt w:val="lowerLetter"/>
      <w:lvlText w:val="%5"/>
      <w:lvlJc w:val="left"/>
      <w:pPr>
        <w:ind w:left="324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5" w:tplc="37A4FAE6">
      <w:start w:val="1"/>
      <w:numFmt w:val="lowerRoman"/>
      <w:lvlText w:val="%6"/>
      <w:lvlJc w:val="left"/>
      <w:pPr>
        <w:ind w:left="396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6" w:tplc="FF006FE4">
      <w:start w:val="1"/>
      <w:numFmt w:val="decimal"/>
      <w:lvlText w:val="%7"/>
      <w:lvlJc w:val="left"/>
      <w:pPr>
        <w:ind w:left="468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7" w:tplc="13A02C4E">
      <w:start w:val="1"/>
      <w:numFmt w:val="lowerLetter"/>
      <w:lvlText w:val="%8"/>
      <w:lvlJc w:val="left"/>
      <w:pPr>
        <w:ind w:left="540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8" w:tplc="3C58906C">
      <w:start w:val="1"/>
      <w:numFmt w:val="lowerRoman"/>
      <w:lvlText w:val="%9"/>
      <w:lvlJc w:val="left"/>
      <w:pPr>
        <w:ind w:left="612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abstractNum>
  <w:abstractNum w:abstractNumId="2" w15:restartNumberingAfterBreak="0">
    <w:nsid w:val="1B0131B0"/>
    <w:multiLevelType w:val="hybridMultilevel"/>
    <w:tmpl w:val="E342EDFE"/>
    <w:lvl w:ilvl="0" w:tplc="D554764C">
      <w:start w:val="23"/>
      <w:numFmt w:val="decimal"/>
      <w:lvlText w:val="%1."/>
      <w:lvlJc w:val="left"/>
      <w:pPr>
        <w:ind w:left="36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1" w:tplc="A9A46C72">
      <w:start w:val="1"/>
      <w:numFmt w:val="lowerLetter"/>
      <w:lvlText w:val="%2"/>
      <w:lvlJc w:val="left"/>
      <w:pPr>
        <w:ind w:left="108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2" w:tplc="E85831B0">
      <w:start w:val="1"/>
      <w:numFmt w:val="lowerRoman"/>
      <w:lvlText w:val="%3"/>
      <w:lvlJc w:val="left"/>
      <w:pPr>
        <w:ind w:left="180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3" w:tplc="795E8F52">
      <w:start w:val="1"/>
      <w:numFmt w:val="decimal"/>
      <w:lvlText w:val="%4"/>
      <w:lvlJc w:val="left"/>
      <w:pPr>
        <w:ind w:left="252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4" w:tplc="CFDCD606">
      <w:start w:val="1"/>
      <w:numFmt w:val="lowerLetter"/>
      <w:lvlText w:val="%5"/>
      <w:lvlJc w:val="left"/>
      <w:pPr>
        <w:ind w:left="324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5" w:tplc="57D4DBC0">
      <w:start w:val="1"/>
      <w:numFmt w:val="lowerRoman"/>
      <w:lvlText w:val="%6"/>
      <w:lvlJc w:val="left"/>
      <w:pPr>
        <w:ind w:left="396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6" w:tplc="DB8C1FF4">
      <w:start w:val="1"/>
      <w:numFmt w:val="decimal"/>
      <w:lvlText w:val="%7"/>
      <w:lvlJc w:val="left"/>
      <w:pPr>
        <w:ind w:left="468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7" w:tplc="31DACD78">
      <w:start w:val="1"/>
      <w:numFmt w:val="lowerLetter"/>
      <w:lvlText w:val="%8"/>
      <w:lvlJc w:val="left"/>
      <w:pPr>
        <w:ind w:left="540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8" w:tplc="030C1BB0">
      <w:start w:val="1"/>
      <w:numFmt w:val="lowerRoman"/>
      <w:lvlText w:val="%9"/>
      <w:lvlJc w:val="left"/>
      <w:pPr>
        <w:ind w:left="612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abstractNum>
  <w:abstractNum w:abstractNumId="3" w15:restartNumberingAfterBreak="0">
    <w:nsid w:val="660775DC"/>
    <w:multiLevelType w:val="hybridMultilevel"/>
    <w:tmpl w:val="A0C06DF6"/>
    <w:lvl w:ilvl="0" w:tplc="D89694BA">
      <w:start w:val="1"/>
      <w:numFmt w:val="decimal"/>
      <w:lvlText w:val="%1."/>
      <w:lvlJc w:val="left"/>
      <w:pPr>
        <w:ind w:left="72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1" w:tplc="2ECE1392">
      <w:start w:val="1"/>
      <w:numFmt w:val="lowerRoman"/>
      <w:lvlText w:val="%2."/>
      <w:lvlJc w:val="left"/>
      <w:pPr>
        <w:ind w:left="126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2" w:tplc="4F4C9FD8">
      <w:start w:val="1"/>
      <w:numFmt w:val="lowerRoman"/>
      <w:lvlText w:val="%3"/>
      <w:lvlJc w:val="left"/>
      <w:pPr>
        <w:ind w:left="180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3" w:tplc="AC3617CA">
      <w:start w:val="1"/>
      <w:numFmt w:val="decimal"/>
      <w:lvlText w:val="%4"/>
      <w:lvlJc w:val="left"/>
      <w:pPr>
        <w:ind w:left="252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4" w:tplc="E3C6E478">
      <w:start w:val="1"/>
      <w:numFmt w:val="lowerLetter"/>
      <w:lvlText w:val="%5"/>
      <w:lvlJc w:val="left"/>
      <w:pPr>
        <w:ind w:left="324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5" w:tplc="56DED372">
      <w:start w:val="1"/>
      <w:numFmt w:val="lowerRoman"/>
      <w:lvlText w:val="%6"/>
      <w:lvlJc w:val="left"/>
      <w:pPr>
        <w:ind w:left="396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6" w:tplc="393059AE">
      <w:start w:val="1"/>
      <w:numFmt w:val="decimal"/>
      <w:lvlText w:val="%7"/>
      <w:lvlJc w:val="left"/>
      <w:pPr>
        <w:ind w:left="468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7" w:tplc="EBB2B382">
      <w:start w:val="1"/>
      <w:numFmt w:val="lowerLetter"/>
      <w:lvlText w:val="%8"/>
      <w:lvlJc w:val="left"/>
      <w:pPr>
        <w:ind w:left="540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lvl w:ilvl="8" w:tplc="00DE8B48">
      <w:start w:val="1"/>
      <w:numFmt w:val="lowerRoman"/>
      <w:lvlText w:val="%9"/>
      <w:lvlJc w:val="left"/>
      <w:pPr>
        <w:ind w:left="6120"/>
      </w:pPr>
      <w:rPr>
        <w:rFonts w:ascii="Calibri" w:eastAsia="Calibri" w:hAnsi="Calibri" w:cs="Calibri"/>
        <w:b w:val="0"/>
        <w:i w:val="0"/>
        <w:strike w:val="0"/>
        <w:dstrike w:val="0"/>
        <w:color w:val="20275C"/>
        <w:sz w:val="22"/>
        <w:szCs w:val="22"/>
        <w:u w:val="none" w:color="000000"/>
        <w:bdr w:val="none" w:sz="0" w:space="0" w:color="auto"/>
        <w:shd w:val="clear" w:color="auto" w:fill="auto"/>
        <w:vertAlign w:val="baseline"/>
      </w:rPr>
    </w:lvl>
  </w:abstractNum>
  <w:abstractNum w:abstractNumId="4" w15:restartNumberingAfterBreak="0">
    <w:nsid w:val="6E5B7152"/>
    <w:multiLevelType w:val="hybridMultilevel"/>
    <w:tmpl w:val="2D7EC5B8"/>
    <w:lvl w:ilvl="0" w:tplc="CD12BEC2">
      <w:start w:val="1"/>
      <w:numFmt w:val="bullet"/>
      <w:lvlText w:val="•"/>
      <w:lvlJc w:val="left"/>
      <w:pPr>
        <w:ind w:left="720"/>
      </w:pPr>
      <w:rPr>
        <w:rFonts w:ascii="Arial" w:eastAsia="Arial" w:hAnsi="Arial" w:cs="Arial"/>
        <w:b w:val="0"/>
        <w:i w:val="0"/>
        <w:strike w:val="0"/>
        <w:dstrike w:val="0"/>
        <w:color w:val="20275C"/>
        <w:sz w:val="22"/>
        <w:szCs w:val="22"/>
        <w:u w:val="none" w:color="000000"/>
        <w:bdr w:val="none" w:sz="0" w:space="0" w:color="auto"/>
        <w:shd w:val="clear" w:color="auto" w:fill="auto"/>
        <w:vertAlign w:val="baseline"/>
      </w:rPr>
    </w:lvl>
    <w:lvl w:ilvl="1" w:tplc="B824DABC">
      <w:start w:val="1"/>
      <w:numFmt w:val="bullet"/>
      <w:lvlText w:val="o"/>
      <w:lvlJc w:val="left"/>
      <w:pPr>
        <w:ind w:left="1440"/>
      </w:pPr>
      <w:rPr>
        <w:rFonts w:ascii="Segoe UI Symbol" w:eastAsia="Segoe UI Symbol" w:hAnsi="Segoe UI Symbol" w:cs="Segoe UI Symbol"/>
        <w:b w:val="0"/>
        <w:i w:val="0"/>
        <w:strike w:val="0"/>
        <w:dstrike w:val="0"/>
        <w:color w:val="20275C"/>
        <w:sz w:val="22"/>
        <w:szCs w:val="22"/>
        <w:u w:val="none" w:color="000000"/>
        <w:bdr w:val="none" w:sz="0" w:space="0" w:color="auto"/>
        <w:shd w:val="clear" w:color="auto" w:fill="auto"/>
        <w:vertAlign w:val="baseline"/>
      </w:rPr>
    </w:lvl>
    <w:lvl w:ilvl="2" w:tplc="08343116">
      <w:start w:val="1"/>
      <w:numFmt w:val="bullet"/>
      <w:lvlText w:val="▪"/>
      <w:lvlJc w:val="left"/>
      <w:pPr>
        <w:ind w:left="2160"/>
      </w:pPr>
      <w:rPr>
        <w:rFonts w:ascii="Segoe UI Symbol" w:eastAsia="Segoe UI Symbol" w:hAnsi="Segoe UI Symbol" w:cs="Segoe UI Symbol"/>
        <w:b w:val="0"/>
        <w:i w:val="0"/>
        <w:strike w:val="0"/>
        <w:dstrike w:val="0"/>
        <w:color w:val="20275C"/>
        <w:sz w:val="22"/>
        <w:szCs w:val="22"/>
        <w:u w:val="none" w:color="000000"/>
        <w:bdr w:val="none" w:sz="0" w:space="0" w:color="auto"/>
        <w:shd w:val="clear" w:color="auto" w:fill="auto"/>
        <w:vertAlign w:val="baseline"/>
      </w:rPr>
    </w:lvl>
    <w:lvl w:ilvl="3" w:tplc="AA3A223A">
      <w:start w:val="1"/>
      <w:numFmt w:val="bullet"/>
      <w:lvlText w:val="•"/>
      <w:lvlJc w:val="left"/>
      <w:pPr>
        <w:ind w:left="2880"/>
      </w:pPr>
      <w:rPr>
        <w:rFonts w:ascii="Arial" w:eastAsia="Arial" w:hAnsi="Arial" w:cs="Arial"/>
        <w:b w:val="0"/>
        <w:i w:val="0"/>
        <w:strike w:val="0"/>
        <w:dstrike w:val="0"/>
        <w:color w:val="20275C"/>
        <w:sz w:val="22"/>
        <w:szCs w:val="22"/>
        <w:u w:val="none" w:color="000000"/>
        <w:bdr w:val="none" w:sz="0" w:space="0" w:color="auto"/>
        <w:shd w:val="clear" w:color="auto" w:fill="auto"/>
        <w:vertAlign w:val="baseline"/>
      </w:rPr>
    </w:lvl>
    <w:lvl w:ilvl="4" w:tplc="56988E70">
      <w:start w:val="1"/>
      <w:numFmt w:val="bullet"/>
      <w:lvlText w:val="o"/>
      <w:lvlJc w:val="left"/>
      <w:pPr>
        <w:ind w:left="3600"/>
      </w:pPr>
      <w:rPr>
        <w:rFonts w:ascii="Segoe UI Symbol" w:eastAsia="Segoe UI Symbol" w:hAnsi="Segoe UI Symbol" w:cs="Segoe UI Symbol"/>
        <w:b w:val="0"/>
        <w:i w:val="0"/>
        <w:strike w:val="0"/>
        <w:dstrike w:val="0"/>
        <w:color w:val="20275C"/>
        <w:sz w:val="22"/>
        <w:szCs w:val="22"/>
        <w:u w:val="none" w:color="000000"/>
        <w:bdr w:val="none" w:sz="0" w:space="0" w:color="auto"/>
        <w:shd w:val="clear" w:color="auto" w:fill="auto"/>
        <w:vertAlign w:val="baseline"/>
      </w:rPr>
    </w:lvl>
    <w:lvl w:ilvl="5" w:tplc="DCD0A43A">
      <w:start w:val="1"/>
      <w:numFmt w:val="bullet"/>
      <w:lvlText w:val="▪"/>
      <w:lvlJc w:val="left"/>
      <w:pPr>
        <w:ind w:left="4320"/>
      </w:pPr>
      <w:rPr>
        <w:rFonts w:ascii="Segoe UI Symbol" w:eastAsia="Segoe UI Symbol" w:hAnsi="Segoe UI Symbol" w:cs="Segoe UI Symbol"/>
        <w:b w:val="0"/>
        <w:i w:val="0"/>
        <w:strike w:val="0"/>
        <w:dstrike w:val="0"/>
        <w:color w:val="20275C"/>
        <w:sz w:val="22"/>
        <w:szCs w:val="22"/>
        <w:u w:val="none" w:color="000000"/>
        <w:bdr w:val="none" w:sz="0" w:space="0" w:color="auto"/>
        <w:shd w:val="clear" w:color="auto" w:fill="auto"/>
        <w:vertAlign w:val="baseline"/>
      </w:rPr>
    </w:lvl>
    <w:lvl w:ilvl="6" w:tplc="E1F28580">
      <w:start w:val="1"/>
      <w:numFmt w:val="bullet"/>
      <w:lvlText w:val="•"/>
      <w:lvlJc w:val="left"/>
      <w:pPr>
        <w:ind w:left="5040"/>
      </w:pPr>
      <w:rPr>
        <w:rFonts w:ascii="Arial" w:eastAsia="Arial" w:hAnsi="Arial" w:cs="Arial"/>
        <w:b w:val="0"/>
        <w:i w:val="0"/>
        <w:strike w:val="0"/>
        <w:dstrike w:val="0"/>
        <w:color w:val="20275C"/>
        <w:sz w:val="22"/>
        <w:szCs w:val="22"/>
        <w:u w:val="none" w:color="000000"/>
        <w:bdr w:val="none" w:sz="0" w:space="0" w:color="auto"/>
        <w:shd w:val="clear" w:color="auto" w:fill="auto"/>
        <w:vertAlign w:val="baseline"/>
      </w:rPr>
    </w:lvl>
    <w:lvl w:ilvl="7" w:tplc="E5D81666">
      <w:start w:val="1"/>
      <w:numFmt w:val="bullet"/>
      <w:lvlText w:val="o"/>
      <w:lvlJc w:val="left"/>
      <w:pPr>
        <w:ind w:left="5760"/>
      </w:pPr>
      <w:rPr>
        <w:rFonts w:ascii="Segoe UI Symbol" w:eastAsia="Segoe UI Symbol" w:hAnsi="Segoe UI Symbol" w:cs="Segoe UI Symbol"/>
        <w:b w:val="0"/>
        <w:i w:val="0"/>
        <w:strike w:val="0"/>
        <w:dstrike w:val="0"/>
        <w:color w:val="20275C"/>
        <w:sz w:val="22"/>
        <w:szCs w:val="22"/>
        <w:u w:val="none" w:color="000000"/>
        <w:bdr w:val="none" w:sz="0" w:space="0" w:color="auto"/>
        <w:shd w:val="clear" w:color="auto" w:fill="auto"/>
        <w:vertAlign w:val="baseline"/>
      </w:rPr>
    </w:lvl>
    <w:lvl w:ilvl="8" w:tplc="B87E29E0">
      <w:start w:val="1"/>
      <w:numFmt w:val="bullet"/>
      <w:lvlText w:val="▪"/>
      <w:lvlJc w:val="left"/>
      <w:pPr>
        <w:ind w:left="6480"/>
      </w:pPr>
      <w:rPr>
        <w:rFonts w:ascii="Segoe UI Symbol" w:eastAsia="Segoe UI Symbol" w:hAnsi="Segoe UI Symbol" w:cs="Segoe UI Symbol"/>
        <w:b w:val="0"/>
        <w:i w:val="0"/>
        <w:strike w:val="0"/>
        <w:dstrike w:val="0"/>
        <w:color w:val="20275C"/>
        <w:sz w:val="22"/>
        <w:szCs w:val="22"/>
        <w:u w:val="none" w:color="000000"/>
        <w:bdr w:val="none" w:sz="0" w:space="0" w:color="auto"/>
        <w:shd w:val="clear" w:color="auto" w:fill="auto"/>
        <w:vertAlign w:val="baseline"/>
      </w:rPr>
    </w:lvl>
  </w:abstractNum>
  <w:num w:numId="1" w16cid:durableId="2070299837">
    <w:abstractNumId w:val="3"/>
  </w:num>
  <w:num w:numId="2" w16cid:durableId="596979936">
    <w:abstractNumId w:val="1"/>
  </w:num>
  <w:num w:numId="3" w16cid:durableId="1126965074">
    <w:abstractNumId w:val="0"/>
  </w:num>
  <w:num w:numId="4" w16cid:durableId="329338167">
    <w:abstractNumId w:val="2"/>
  </w:num>
  <w:num w:numId="5" w16cid:durableId="694498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D9"/>
    <w:rsid w:val="00000895"/>
    <w:rsid w:val="00035DC2"/>
    <w:rsid w:val="00045B49"/>
    <w:rsid w:val="0006214D"/>
    <w:rsid w:val="00073D34"/>
    <w:rsid w:val="00093A0A"/>
    <w:rsid w:val="0009566C"/>
    <w:rsid w:val="000B4903"/>
    <w:rsid w:val="000C00D2"/>
    <w:rsid w:val="000C2EF8"/>
    <w:rsid w:val="000C7791"/>
    <w:rsid w:val="000D3993"/>
    <w:rsid w:val="000D6580"/>
    <w:rsid w:val="000E231C"/>
    <w:rsid w:val="00106B0F"/>
    <w:rsid w:val="00133D16"/>
    <w:rsid w:val="001415AD"/>
    <w:rsid w:val="001840DE"/>
    <w:rsid w:val="00184D4B"/>
    <w:rsid w:val="0019366F"/>
    <w:rsid w:val="001A4230"/>
    <w:rsid w:val="001B30FF"/>
    <w:rsid w:val="001E0A95"/>
    <w:rsid w:val="001E6CD2"/>
    <w:rsid w:val="002357A6"/>
    <w:rsid w:val="0024078F"/>
    <w:rsid w:val="00266869"/>
    <w:rsid w:val="00266F6D"/>
    <w:rsid w:val="00290F8A"/>
    <w:rsid w:val="002A1EFF"/>
    <w:rsid w:val="002A5907"/>
    <w:rsid w:val="002A6D44"/>
    <w:rsid w:val="002E0FE6"/>
    <w:rsid w:val="003014B6"/>
    <w:rsid w:val="00307A2F"/>
    <w:rsid w:val="003146D6"/>
    <w:rsid w:val="00360605"/>
    <w:rsid w:val="003726B2"/>
    <w:rsid w:val="00372F80"/>
    <w:rsid w:val="003A2D4B"/>
    <w:rsid w:val="0040410F"/>
    <w:rsid w:val="0045600F"/>
    <w:rsid w:val="00485099"/>
    <w:rsid w:val="0049718E"/>
    <w:rsid w:val="004B144D"/>
    <w:rsid w:val="004B5DF9"/>
    <w:rsid w:val="004E615D"/>
    <w:rsid w:val="004F78D1"/>
    <w:rsid w:val="00513094"/>
    <w:rsid w:val="00523097"/>
    <w:rsid w:val="005364D8"/>
    <w:rsid w:val="00557B68"/>
    <w:rsid w:val="00576ED9"/>
    <w:rsid w:val="005A2FD8"/>
    <w:rsid w:val="005A3DAE"/>
    <w:rsid w:val="005D6E07"/>
    <w:rsid w:val="005F0EAF"/>
    <w:rsid w:val="00610090"/>
    <w:rsid w:val="0062675E"/>
    <w:rsid w:val="0068276F"/>
    <w:rsid w:val="0069164E"/>
    <w:rsid w:val="006B36C4"/>
    <w:rsid w:val="00704F6D"/>
    <w:rsid w:val="00710C57"/>
    <w:rsid w:val="00721BD2"/>
    <w:rsid w:val="00760C1B"/>
    <w:rsid w:val="00762387"/>
    <w:rsid w:val="007704FF"/>
    <w:rsid w:val="00793073"/>
    <w:rsid w:val="007B2C6C"/>
    <w:rsid w:val="007B3482"/>
    <w:rsid w:val="007D0455"/>
    <w:rsid w:val="008126B4"/>
    <w:rsid w:val="008165FF"/>
    <w:rsid w:val="008237C7"/>
    <w:rsid w:val="0082560F"/>
    <w:rsid w:val="00883D32"/>
    <w:rsid w:val="008B153B"/>
    <w:rsid w:val="008B387F"/>
    <w:rsid w:val="008B75FA"/>
    <w:rsid w:val="008E057D"/>
    <w:rsid w:val="00911591"/>
    <w:rsid w:val="00912071"/>
    <w:rsid w:val="009133FB"/>
    <w:rsid w:val="009173D0"/>
    <w:rsid w:val="00924279"/>
    <w:rsid w:val="00925AE5"/>
    <w:rsid w:val="00932C68"/>
    <w:rsid w:val="00934E7E"/>
    <w:rsid w:val="00935495"/>
    <w:rsid w:val="00950927"/>
    <w:rsid w:val="00950B04"/>
    <w:rsid w:val="0095131F"/>
    <w:rsid w:val="009716B3"/>
    <w:rsid w:val="009773C5"/>
    <w:rsid w:val="009A223B"/>
    <w:rsid w:val="009A510C"/>
    <w:rsid w:val="009F0591"/>
    <w:rsid w:val="00A704FA"/>
    <w:rsid w:val="00AC2DC2"/>
    <w:rsid w:val="00AD65EF"/>
    <w:rsid w:val="00AE086C"/>
    <w:rsid w:val="00B21ECF"/>
    <w:rsid w:val="00B32941"/>
    <w:rsid w:val="00B44883"/>
    <w:rsid w:val="00B63D48"/>
    <w:rsid w:val="00BA0623"/>
    <w:rsid w:val="00BA295A"/>
    <w:rsid w:val="00BC4815"/>
    <w:rsid w:val="00C43C6A"/>
    <w:rsid w:val="00C64CEB"/>
    <w:rsid w:val="00C66FA0"/>
    <w:rsid w:val="00C72EC0"/>
    <w:rsid w:val="00CB0F61"/>
    <w:rsid w:val="00CD6021"/>
    <w:rsid w:val="00D0792B"/>
    <w:rsid w:val="00D31D53"/>
    <w:rsid w:val="00D32E62"/>
    <w:rsid w:val="00D33881"/>
    <w:rsid w:val="00D50904"/>
    <w:rsid w:val="00D52741"/>
    <w:rsid w:val="00D677E2"/>
    <w:rsid w:val="00D76D00"/>
    <w:rsid w:val="00D80BAE"/>
    <w:rsid w:val="00D92F69"/>
    <w:rsid w:val="00DA07A3"/>
    <w:rsid w:val="00DA1CB9"/>
    <w:rsid w:val="00DB19E3"/>
    <w:rsid w:val="00DC61AD"/>
    <w:rsid w:val="00E009DE"/>
    <w:rsid w:val="00E21FE6"/>
    <w:rsid w:val="00E27EC7"/>
    <w:rsid w:val="00E35A11"/>
    <w:rsid w:val="00E41029"/>
    <w:rsid w:val="00E8632B"/>
    <w:rsid w:val="00E926BB"/>
    <w:rsid w:val="00E92A20"/>
    <w:rsid w:val="00EC3324"/>
    <w:rsid w:val="00ED6C68"/>
    <w:rsid w:val="00F0143D"/>
    <w:rsid w:val="00F06CE4"/>
    <w:rsid w:val="00F17C4D"/>
    <w:rsid w:val="00F22BAF"/>
    <w:rsid w:val="00F26C0D"/>
    <w:rsid w:val="00F509A6"/>
    <w:rsid w:val="00F642AD"/>
    <w:rsid w:val="00F661D1"/>
    <w:rsid w:val="00F92F49"/>
    <w:rsid w:val="00FC1346"/>
    <w:rsid w:val="00FC3963"/>
    <w:rsid w:val="00FC7B17"/>
    <w:rsid w:val="00FF0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18EC4"/>
  <w15:docId w15:val="{70857C95-7D4A-4A00-B986-C52070D9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20275C"/>
    </w:rPr>
  </w:style>
  <w:style w:type="paragraph" w:styleId="Heading1">
    <w:name w:val="heading 1"/>
    <w:next w:val="Normal"/>
    <w:link w:val="Heading1Char"/>
    <w:uiPriority w:val="9"/>
    <w:qFormat/>
    <w:pPr>
      <w:keepNext/>
      <w:keepLines/>
      <w:spacing w:after="8"/>
      <w:ind w:left="10" w:hanging="10"/>
      <w:outlineLvl w:val="0"/>
    </w:pPr>
    <w:rPr>
      <w:rFonts w:ascii="Calibri" w:eastAsia="Calibri" w:hAnsi="Calibri" w:cs="Calibri"/>
      <w:b/>
      <w:color w:val="0099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99A0"/>
      <w:sz w:val="22"/>
    </w:rPr>
  </w:style>
  <w:style w:type="paragraph" w:customStyle="1" w:styleId="footnotedescription">
    <w:name w:val="footnote description"/>
    <w:next w:val="Normal"/>
    <w:link w:val="footnotedescriptionChar"/>
    <w:hidden/>
    <w:pPr>
      <w:spacing w:after="0"/>
    </w:pPr>
    <w:rPr>
      <w:rFonts w:ascii="Calibri" w:eastAsia="Calibri" w:hAnsi="Calibri" w:cs="Calibri"/>
      <w:color w:val="20275C"/>
      <w:sz w:val="18"/>
    </w:rPr>
  </w:style>
  <w:style w:type="character" w:customStyle="1" w:styleId="footnotedescriptionChar">
    <w:name w:val="footnote description Char"/>
    <w:link w:val="footnotedescription"/>
    <w:rPr>
      <w:rFonts w:ascii="Calibri" w:eastAsia="Calibri" w:hAnsi="Calibri" w:cs="Calibri"/>
      <w:color w:val="20275C"/>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23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097"/>
    <w:rPr>
      <w:rFonts w:ascii="Calibri" w:eastAsia="Calibri" w:hAnsi="Calibri" w:cs="Calibri"/>
      <w:color w:val="20275C"/>
    </w:rPr>
  </w:style>
  <w:style w:type="paragraph" w:styleId="ListParagraph">
    <w:name w:val="List Paragraph"/>
    <w:basedOn w:val="Normal"/>
    <w:uiPriority w:val="34"/>
    <w:qFormat/>
    <w:rsid w:val="00523097"/>
    <w:pPr>
      <w:ind w:left="720"/>
      <w:contextualSpacing/>
    </w:pPr>
  </w:style>
  <w:style w:type="paragraph" w:styleId="Revision">
    <w:name w:val="Revision"/>
    <w:hidden/>
    <w:uiPriority w:val="99"/>
    <w:semiHidden/>
    <w:rsid w:val="0062675E"/>
    <w:pPr>
      <w:spacing w:after="0" w:line="240" w:lineRule="auto"/>
    </w:pPr>
    <w:rPr>
      <w:rFonts w:ascii="Calibri" w:eastAsia="Calibri" w:hAnsi="Calibri" w:cs="Calibri"/>
      <w:color w:val="20275C"/>
    </w:rPr>
  </w:style>
  <w:style w:type="character" w:styleId="CommentReference">
    <w:name w:val="annotation reference"/>
    <w:basedOn w:val="DefaultParagraphFont"/>
    <w:uiPriority w:val="99"/>
    <w:semiHidden/>
    <w:unhideWhenUsed/>
    <w:rsid w:val="00DA1CB9"/>
    <w:rPr>
      <w:sz w:val="16"/>
      <w:szCs w:val="16"/>
    </w:rPr>
  </w:style>
  <w:style w:type="paragraph" w:styleId="CommentText">
    <w:name w:val="annotation text"/>
    <w:basedOn w:val="Normal"/>
    <w:link w:val="CommentTextChar"/>
    <w:uiPriority w:val="99"/>
    <w:unhideWhenUsed/>
    <w:rsid w:val="00DA1CB9"/>
    <w:pPr>
      <w:spacing w:line="240" w:lineRule="auto"/>
    </w:pPr>
    <w:rPr>
      <w:sz w:val="20"/>
      <w:szCs w:val="20"/>
    </w:rPr>
  </w:style>
  <w:style w:type="character" w:customStyle="1" w:styleId="CommentTextChar">
    <w:name w:val="Comment Text Char"/>
    <w:basedOn w:val="DefaultParagraphFont"/>
    <w:link w:val="CommentText"/>
    <w:uiPriority w:val="99"/>
    <w:rsid w:val="00DA1CB9"/>
    <w:rPr>
      <w:rFonts w:ascii="Calibri" w:eastAsia="Calibri" w:hAnsi="Calibri" w:cs="Calibri"/>
      <w:color w:val="20275C"/>
      <w:sz w:val="20"/>
      <w:szCs w:val="20"/>
    </w:rPr>
  </w:style>
  <w:style w:type="paragraph" w:styleId="CommentSubject">
    <w:name w:val="annotation subject"/>
    <w:basedOn w:val="CommentText"/>
    <w:next w:val="CommentText"/>
    <w:link w:val="CommentSubjectChar"/>
    <w:uiPriority w:val="99"/>
    <w:semiHidden/>
    <w:unhideWhenUsed/>
    <w:rsid w:val="00DA1CB9"/>
    <w:rPr>
      <w:b/>
      <w:bCs/>
    </w:rPr>
  </w:style>
  <w:style w:type="character" w:customStyle="1" w:styleId="CommentSubjectChar">
    <w:name w:val="Comment Subject Char"/>
    <w:basedOn w:val="CommentTextChar"/>
    <w:link w:val="CommentSubject"/>
    <w:uiPriority w:val="99"/>
    <w:semiHidden/>
    <w:rsid w:val="00DA1CB9"/>
    <w:rPr>
      <w:rFonts w:ascii="Calibri" w:eastAsia="Calibri" w:hAnsi="Calibri" w:cs="Calibri"/>
      <w:b/>
      <w:bCs/>
      <w:color w:val="20275C"/>
      <w:sz w:val="20"/>
      <w:szCs w:val="20"/>
    </w:rPr>
  </w:style>
  <w:style w:type="character" w:customStyle="1" w:styleId="cf01">
    <w:name w:val="cf01"/>
    <w:basedOn w:val="DefaultParagraphFont"/>
    <w:rsid w:val="00F06CE4"/>
    <w:rPr>
      <w:rFonts w:ascii="Segoe UI" w:hAnsi="Segoe UI" w:cs="Segoe UI" w:hint="default"/>
      <w:color w:val="20275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2.png@01DC1058.61AEBBC0"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cid:image002.jpg@01DC1046.67F8DC7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XVTAZUJVTSQM-307003130-1905126</_dlc_DocId>
    <_dlc_DocIdUrl xmlns="2412a510-4c64-448d-9501-0e9bb7450609">
      <Url>https://onetouchhealth.sharepoint.com/sites/TrixData/_layouts/15/DocIdRedir.aspx?ID=XVTAZUJVTSQM-307003130-1905126</Url>
      <Description>XVTAZUJVTSQM-307003130-1905126</Description>
    </_dlc_DocIdUrl>
  </documentManagement>
</p:properties>
</file>

<file path=customXml/itemProps1.xml><?xml version="1.0" encoding="utf-8"?>
<ds:datastoreItem xmlns:ds="http://schemas.openxmlformats.org/officeDocument/2006/customXml" ds:itemID="{07FAB552-173F-4E9F-8744-0EC7C2C3334F}">
  <ds:schemaRefs>
    <ds:schemaRef ds:uri="http://schemas.openxmlformats.org/officeDocument/2006/bibliography"/>
  </ds:schemaRefs>
</ds:datastoreItem>
</file>

<file path=customXml/itemProps2.xml><?xml version="1.0" encoding="utf-8"?>
<ds:datastoreItem xmlns:ds="http://schemas.openxmlformats.org/officeDocument/2006/customXml" ds:itemID="{BB2DD49D-08AA-4BAB-9B8C-6E618714EFBB}"/>
</file>

<file path=customXml/itemProps3.xml><?xml version="1.0" encoding="utf-8"?>
<ds:datastoreItem xmlns:ds="http://schemas.openxmlformats.org/officeDocument/2006/customXml" ds:itemID="{B1A53B51-E387-45DD-8BF9-5230CFEAA28F}"/>
</file>

<file path=customXml/itemProps4.xml><?xml version="1.0" encoding="utf-8"?>
<ds:datastoreItem xmlns:ds="http://schemas.openxmlformats.org/officeDocument/2006/customXml" ds:itemID="{49A3D5CF-4FB2-494A-AD73-425209B2126F}"/>
</file>

<file path=customXml/itemProps5.xml><?xml version="1.0" encoding="utf-8"?>
<ds:datastoreItem xmlns:ds="http://schemas.openxmlformats.org/officeDocument/2006/customXml" ds:itemID="{56519183-FC18-49CE-9B1F-2387C79DCA4E}"/>
</file>

<file path=docProps/app.xml><?xml version="1.0" encoding="utf-8"?>
<Properties xmlns="http://schemas.openxmlformats.org/officeDocument/2006/extended-properties" xmlns:vt="http://schemas.openxmlformats.org/officeDocument/2006/docPropsVTypes">
  <Template>Normal</Template>
  <TotalTime>0</TotalTime>
  <Pages>1</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Sirisambhand</dc:creator>
  <cp:keywords/>
  <cp:lastModifiedBy>Ros Wilson</cp:lastModifiedBy>
  <cp:revision>1</cp:revision>
  <dcterms:created xsi:type="dcterms:W3CDTF">2025-10-17T02:08:00Z</dcterms:created>
  <dcterms:modified xsi:type="dcterms:W3CDTF">2025-10-17T02:08:00Z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65312781-fb1c-4ba1-8ba5-f3524d8e4d09</vt:lpwstr>
  </property>
</Properties>
</file>