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B0B2" w14:textId="4802BA5B" w:rsidR="005B4E42" w:rsidRPr="00CD455F" w:rsidRDefault="00DF7C62" w:rsidP="007B1CA3">
      <w:pPr>
        <w:pStyle w:val="Title"/>
      </w:pPr>
      <w:r w:rsidRPr="00CD455F">
        <w:t>Customer Fina</w:t>
      </w:r>
      <w:r w:rsidR="005B4E42" w:rsidRPr="00CD455F">
        <w:t xml:space="preserve">nces </w:t>
      </w:r>
    </w:p>
    <w:p w14:paraId="5ED25600" w14:textId="32B50C71" w:rsidR="00B35C36" w:rsidRDefault="007F68E0" w:rsidP="00B35C36">
      <w:pPr>
        <w:pStyle w:val="IntenseQuote"/>
        <w:jc w:val="center"/>
      </w:pPr>
      <w:r>
        <w:t>Section</w:t>
      </w:r>
      <w:r w:rsidR="00B35C36">
        <w:t xml:space="preserve"> </w:t>
      </w:r>
      <w:r>
        <w:t xml:space="preserve">1 of The Care Act </w:t>
      </w:r>
      <w:r w:rsidR="004E3D57">
        <w:t xml:space="preserve">(2014) </w:t>
      </w:r>
      <w:r>
        <w:t xml:space="preserve">and </w:t>
      </w:r>
      <w:r w:rsidR="00DD36AF">
        <w:t>throughout the entire act is t</w:t>
      </w:r>
      <w:r w:rsidR="007546B6" w:rsidRPr="007546B6">
        <w:t xml:space="preserve">he statutory principle of </w:t>
      </w:r>
      <w:r w:rsidR="001C06EC">
        <w:t xml:space="preserve">promoting </w:t>
      </w:r>
      <w:r w:rsidR="007546B6" w:rsidRPr="00510B92">
        <w:rPr>
          <w:color w:val="70AD47" w:themeColor="accent6"/>
        </w:rPr>
        <w:t>individual</w:t>
      </w:r>
      <w:r w:rsidR="00B35C36" w:rsidRPr="00510B92">
        <w:rPr>
          <w:color w:val="70AD47" w:themeColor="accent6"/>
        </w:rPr>
        <w:t xml:space="preserve"> </w:t>
      </w:r>
      <w:r w:rsidR="007546B6" w:rsidRPr="00510B92">
        <w:rPr>
          <w:color w:val="70AD47" w:themeColor="accent6"/>
        </w:rPr>
        <w:t>wellbeing.</w:t>
      </w:r>
    </w:p>
    <w:p w14:paraId="194B0768" w14:textId="77777777" w:rsidR="00B35C36" w:rsidRDefault="00B35C36" w:rsidP="00B35C36">
      <w:pPr>
        <w:pStyle w:val="IntenseQuote"/>
        <w:jc w:val="center"/>
      </w:pPr>
    </w:p>
    <w:p w14:paraId="27D8FD62" w14:textId="4F3236B0" w:rsidR="00D83127" w:rsidRPr="003D6FF0" w:rsidRDefault="00363D64" w:rsidP="00B35C36">
      <w:pPr>
        <w:pStyle w:val="IntenseQuote"/>
        <w:jc w:val="center"/>
      </w:pPr>
      <w:r w:rsidRPr="00197433">
        <w:t>Local A</w:t>
      </w:r>
      <w:r w:rsidR="003D6FF0" w:rsidRPr="003D6FF0">
        <w:t xml:space="preserve">uthorities have a duty to ensure that </w:t>
      </w:r>
      <w:r w:rsidR="003D6FF0" w:rsidRPr="00B35C36">
        <w:rPr>
          <w:b/>
          <w:bCs/>
          <w:color w:val="595959" w:themeColor="text1" w:themeTint="A6"/>
        </w:rPr>
        <w:t>information and advice</w:t>
      </w:r>
      <w:r w:rsidR="003D6FF0" w:rsidRPr="00B35C36">
        <w:rPr>
          <w:color w:val="595959" w:themeColor="text1" w:themeTint="A6"/>
        </w:rPr>
        <w:t xml:space="preserve"> </w:t>
      </w:r>
      <w:r w:rsidR="003D6FF0" w:rsidRPr="003D6FF0">
        <w:t xml:space="preserve">on care and support is available to </w:t>
      </w:r>
      <w:r w:rsidR="00534A4B" w:rsidRPr="00197433">
        <w:t>all when</w:t>
      </w:r>
      <w:r w:rsidR="003D6FF0" w:rsidRPr="003D6FF0">
        <w:t xml:space="preserve"> they need it.</w:t>
      </w:r>
      <w:r w:rsidR="00B35C36">
        <w:t xml:space="preserve"> </w:t>
      </w:r>
      <w:r w:rsidR="002F70F7" w:rsidRPr="00197433">
        <w:t>Timely</w:t>
      </w:r>
      <w:r w:rsidR="00B26629">
        <w:t xml:space="preserve"> &amp;</w:t>
      </w:r>
      <w:r w:rsidR="00395EFD" w:rsidRPr="00197433">
        <w:t xml:space="preserve"> </w:t>
      </w:r>
      <w:r w:rsidR="00395EFD" w:rsidRPr="00775B1B">
        <w:rPr>
          <w:color w:val="70AD47" w:themeColor="accent6"/>
        </w:rPr>
        <w:t>accurate</w:t>
      </w:r>
      <w:r w:rsidR="002F70F7" w:rsidRPr="00775B1B">
        <w:rPr>
          <w:color w:val="70AD47" w:themeColor="accent6"/>
        </w:rPr>
        <w:t xml:space="preserve"> information</w:t>
      </w:r>
      <w:r w:rsidR="00395EFD" w:rsidRPr="00775B1B">
        <w:rPr>
          <w:b/>
          <w:bCs/>
          <w:color w:val="70AD47" w:themeColor="accent6"/>
        </w:rPr>
        <w:t xml:space="preserve"> </w:t>
      </w:r>
      <w:r w:rsidR="00395EFD" w:rsidRPr="00B26629">
        <w:rPr>
          <w:b/>
          <w:bCs/>
          <w:color w:val="595959" w:themeColor="text1" w:themeTint="A6"/>
        </w:rPr>
        <w:t>regarding the</w:t>
      </w:r>
      <w:r w:rsidR="00E6513B" w:rsidRPr="00B26629">
        <w:rPr>
          <w:b/>
          <w:bCs/>
          <w:color w:val="595959" w:themeColor="text1" w:themeTint="A6"/>
        </w:rPr>
        <w:t xml:space="preserve"> financial implications of </w:t>
      </w:r>
      <w:r w:rsidR="00220389" w:rsidRPr="00B26629">
        <w:rPr>
          <w:b/>
          <w:bCs/>
          <w:color w:val="595959" w:themeColor="text1" w:themeTint="A6"/>
        </w:rPr>
        <w:t>receiving care</w:t>
      </w:r>
      <w:r w:rsidR="00220389" w:rsidRPr="00B26629">
        <w:rPr>
          <w:color w:val="595959" w:themeColor="text1" w:themeTint="A6"/>
        </w:rPr>
        <w:t xml:space="preserve"> </w:t>
      </w:r>
      <w:r w:rsidR="00220389" w:rsidRPr="00197433">
        <w:t>and support through Adult Care</w:t>
      </w:r>
      <w:r w:rsidR="00931C27" w:rsidRPr="00197433">
        <w:t xml:space="preserve"> </w:t>
      </w:r>
      <w:r w:rsidR="00395EFD" w:rsidRPr="00775B1B">
        <w:rPr>
          <w:b/>
          <w:bCs/>
          <w:color w:val="595959" w:themeColor="text1" w:themeTint="A6"/>
        </w:rPr>
        <w:t xml:space="preserve">is critical </w:t>
      </w:r>
      <w:r w:rsidR="00931C27" w:rsidRPr="00775B1B">
        <w:rPr>
          <w:b/>
          <w:bCs/>
          <w:color w:val="595959" w:themeColor="text1" w:themeTint="A6"/>
        </w:rPr>
        <w:t>to ensure a person</w:t>
      </w:r>
      <w:r w:rsidR="00F41654" w:rsidRPr="00775B1B">
        <w:rPr>
          <w:b/>
          <w:bCs/>
          <w:color w:val="595959" w:themeColor="text1" w:themeTint="A6"/>
        </w:rPr>
        <w:t xml:space="preserve"> can make </w:t>
      </w:r>
      <w:r w:rsidR="00E90000" w:rsidRPr="00775B1B">
        <w:rPr>
          <w:b/>
          <w:bCs/>
          <w:color w:val="595959" w:themeColor="text1" w:themeTint="A6"/>
        </w:rPr>
        <w:t>decisions</w:t>
      </w:r>
      <w:r w:rsidR="00E90000" w:rsidRPr="00775B1B">
        <w:rPr>
          <w:color w:val="595959" w:themeColor="text1" w:themeTint="A6"/>
        </w:rPr>
        <w:t xml:space="preserve"> </w:t>
      </w:r>
      <w:r w:rsidR="00E90000" w:rsidRPr="00775B1B">
        <w:rPr>
          <w:b/>
          <w:bCs/>
          <w:color w:val="595959" w:themeColor="text1" w:themeTint="A6"/>
        </w:rPr>
        <w:t>that maintain their</w:t>
      </w:r>
      <w:r w:rsidR="00920E40" w:rsidRPr="00775B1B">
        <w:rPr>
          <w:b/>
          <w:bCs/>
          <w:color w:val="595959" w:themeColor="text1" w:themeTint="A6"/>
        </w:rPr>
        <w:t xml:space="preserve"> </w:t>
      </w:r>
      <w:r w:rsidR="002C3217" w:rsidRPr="00775B1B">
        <w:rPr>
          <w:b/>
          <w:bCs/>
          <w:color w:val="595959" w:themeColor="text1" w:themeTint="A6"/>
        </w:rPr>
        <w:t xml:space="preserve">individual </w:t>
      </w:r>
      <w:r w:rsidR="00920E40" w:rsidRPr="00197433">
        <w:t xml:space="preserve">physical, emotional, </w:t>
      </w:r>
      <w:r w:rsidR="00534A4B" w:rsidRPr="00197433">
        <w:t>psychological,</w:t>
      </w:r>
      <w:r w:rsidR="00920E40" w:rsidRPr="00197433">
        <w:t xml:space="preserve"> and </w:t>
      </w:r>
      <w:r w:rsidR="009E7165" w:rsidRPr="00B35C36">
        <w:rPr>
          <w:b/>
          <w:bCs/>
          <w:color w:val="595959" w:themeColor="text1" w:themeTint="A6"/>
        </w:rPr>
        <w:t>economic</w:t>
      </w:r>
      <w:r w:rsidR="00931C27" w:rsidRPr="00B35C36">
        <w:rPr>
          <w:b/>
          <w:bCs/>
          <w:color w:val="595959" w:themeColor="text1" w:themeTint="A6"/>
        </w:rPr>
        <w:t xml:space="preserve"> wellbeing</w:t>
      </w:r>
      <w:r w:rsidR="00C81908" w:rsidRPr="00B35C36">
        <w:rPr>
          <w:color w:val="595959" w:themeColor="text1" w:themeTint="A6"/>
        </w:rPr>
        <w:t>.</w:t>
      </w:r>
    </w:p>
    <w:p w14:paraId="5A166788" w14:textId="7D9FB4AD" w:rsidR="0096626C" w:rsidRPr="00CD6F14" w:rsidRDefault="009E716E" w:rsidP="00CD6F14">
      <w:pPr>
        <w:rPr>
          <w:sz w:val="40"/>
          <w:szCs w:val="40"/>
        </w:rPr>
      </w:pPr>
      <w:r w:rsidRPr="00CD6F14">
        <w:rPr>
          <w:sz w:val="40"/>
          <w:szCs w:val="40"/>
        </w:rPr>
        <w:t>Guidance for Practitioners</w:t>
      </w:r>
    </w:p>
    <w:p w14:paraId="038F706F" w14:textId="067247D0" w:rsidR="0096626C" w:rsidRPr="002C3217" w:rsidRDefault="0096626C" w:rsidP="006861FD">
      <w:pPr>
        <w:rPr>
          <w:lang w:eastAsia="en-GB"/>
        </w:rPr>
      </w:pPr>
      <w:r w:rsidRPr="002C3217">
        <w:rPr>
          <w:lang w:eastAsia="en-GB"/>
        </w:rPr>
        <w:t xml:space="preserve">The following is guidance to </w:t>
      </w:r>
      <w:r w:rsidR="00C17C8B" w:rsidRPr="002C3217">
        <w:rPr>
          <w:lang w:eastAsia="en-GB"/>
        </w:rPr>
        <w:t xml:space="preserve">assist you when dealing </w:t>
      </w:r>
      <w:r w:rsidR="00D57C49" w:rsidRPr="002C3217">
        <w:rPr>
          <w:lang w:eastAsia="en-GB"/>
        </w:rPr>
        <w:t>with</w:t>
      </w:r>
      <w:r w:rsidR="00D57C49">
        <w:rPr>
          <w:lang w:eastAsia="en-GB"/>
        </w:rPr>
        <w:t xml:space="preserve"> and</w:t>
      </w:r>
      <w:r w:rsidR="00C17C8B" w:rsidRPr="002C3217">
        <w:rPr>
          <w:lang w:eastAsia="en-GB"/>
        </w:rPr>
        <w:t xml:space="preserve"> discussing customers financial situation</w:t>
      </w:r>
      <w:r w:rsidR="002D39AE" w:rsidRPr="002C3217">
        <w:rPr>
          <w:lang w:eastAsia="en-GB"/>
        </w:rPr>
        <w:t>s</w:t>
      </w:r>
      <w:r w:rsidR="001C7AEC" w:rsidRPr="002C3217">
        <w:rPr>
          <w:lang w:eastAsia="en-GB"/>
        </w:rPr>
        <w:t xml:space="preserve">. </w:t>
      </w:r>
      <w:r w:rsidR="00D762C7" w:rsidRPr="002C3217">
        <w:rPr>
          <w:lang w:eastAsia="en-GB"/>
        </w:rPr>
        <w:t>The guidance</w:t>
      </w:r>
      <w:r w:rsidR="001C7AEC" w:rsidRPr="002C3217">
        <w:rPr>
          <w:lang w:eastAsia="en-GB"/>
        </w:rPr>
        <w:t xml:space="preserve"> provides information based on</w:t>
      </w:r>
      <w:r w:rsidR="00B92A90" w:rsidRPr="002C3217">
        <w:rPr>
          <w:lang w:eastAsia="en-GB"/>
        </w:rPr>
        <w:t xml:space="preserve"> usual </w:t>
      </w:r>
      <w:r w:rsidR="00894C66" w:rsidRPr="002C3217">
        <w:rPr>
          <w:lang w:eastAsia="en-GB"/>
        </w:rPr>
        <w:t>practice,</w:t>
      </w:r>
      <w:r w:rsidR="00B92A90" w:rsidRPr="002C3217">
        <w:rPr>
          <w:lang w:eastAsia="en-GB"/>
        </w:rPr>
        <w:t xml:space="preserve"> but</w:t>
      </w:r>
      <w:r w:rsidR="00942044" w:rsidRPr="002C3217">
        <w:rPr>
          <w:lang w:eastAsia="en-GB"/>
        </w:rPr>
        <w:t xml:space="preserve"> discretion can and should be applied in </w:t>
      </w:r>
      <w:r w:rsidR="002C3217" w:rsidRPr="002C3217">
        <w:rPr>
          <w:lang w:eastAsia="en-GB"/>
        </w:rPr>
        <w:t>individual or exceptional</w:t>
      </w:r>
      <w:r w:rsidR="00942044" w:rsidRPr="002C3217">
        <w:rPr>
          <w:lang w:eastAsia="en-GB"/>
        </w:rPr>
        <w:t xml:space="preserve"> circumstances</w:t>
      </w:r>
      <w:r w:rsidR="00FB62C4" w:rsidRPr="002C3217">
        <w:rPr>
          <w:lang w:eastAsia="en-GB"/>
        </w:rPr>
        <w:t>.</w:t>
      </w:r>
    </w:p>
    <w:p w14:paraId="2CBC9EAA" w14:textId="3A73CC1B" w:rsidR="00FB62C4" w:rsidRDefault="00FB62C4" w:rsidP="00F84205">
      <w:pPr>
        <w:spacing w:line="260" w:lineRule="exact"/>
        <w:rPr>
          <w:rStyle w:val="Hyperlink"/>
        </w:rPr>
      </w:pPr>
      <w:r w:rsidRPr="002C3217">
        <w:rPr>
          <w:rFonts w:cstheme="minorHAnsi"/>
          <w:lang w:eastAsia="en-GB"/>
        </w:rPr>
        <w:t xml:space="preserve">For more detailed information please refer to </w:t>
      </w:r>
      <w:r w:rsidR="00986564" w:rsidRPr="002C3217">
        <w:rPr>
          <w:rFonts w:cstheme="minorHAnsi"/>
          <w:lang w:eastAsia="en-GB"/>
        </w:rPr>
        <w:t>Lincolnshire County Council</w:t>
      </w:r>
      <w:r w:rsidR="001052FF" w:rsidRPr="002C3217">
        <w:rPr>
          <w:rFonts w:cstheme="minorHAnsi"/>
          <w:lang w:eastAsia="en-GB"/>
        </w:rPr>
        <w:t xml:space="preserve"> - </w:t>
      </w:r>
      <w:r w:rsidR="00986564" w:rsidRPr="002C3217">
        <w:rPr>
          <w:rFonts w:cstheme="minorHAnsi"/>
          <w:lang w:eastAsia="en-GB"/>
        </w:rPr>
        <w:t xml:space="preserve">Adult Care </w:t>
      </w:r>
      <w:r w:rsidR="00D31BC3" w:rsidRPr="002C3217">
        <w:rPr>
          <w:rFonts w:cstheme="minorHAnsi"/>
          <w:lang w:eastAsia="en-GB"/>
        </w:rPr>
        <w:t>Charging Policy</w:t>
      </w:r>
      <w:r w:rsidR="00AF665F" w:rsidRPr="002C3217">
        <w:rPr>
          <w:rFonts w:cstheme="minorHAnsi"/>
          <w:lang w:eastAsia="en-GB"/>
        </w:rPr>
        <w:t xml:space="preserve"> which can be found in the</w:t>
      </w:r>
      <w:r w:rsidR="00EB2325">
        <w:rPr>
          <w:rFonts w:cstheme="minorHAnsi"/>
          <w:lang w:eastAsia="en-GB"/>
        </w:rPr>
        <w:t xml:space="preserve"> </w:t>
      </w:r>
      <w:r w:rsidR="00AF665F" w:rsidRPr="002C3217">
        <w:rPr>
          <w:rFonts w:cstheme="minorHAnsi"/>
          <w:lang w:eastAsia="en-GB"/>
        </w:rPr>
        <w:t xml:space="preserve"> </w:t>
      </w:r>
      <w:hyperlink r:id="rId8" w:history="1">
        <w:r w:rsidR="00075786">
          <w:rPr>
            <w:rStyle w:val="Hyperlink"/>
          </w:rPr>
          <w:t>Adult Charging Policy</w:t>
        </w:r>
      </w:hyperlink>
      <w:r w:rsidR="00075786">
        <w:t xml:space="preserve"> </w:t>
      </w:r>
    </w:p>
    <w:p w14:paraId="597AEEAE" w14:textId="77777777" w:rsidR="00765263" w:rsidRDefault="00765263" w:rsidP="00F84205">
      <w:pPr>
        <w:spacing w:line="260" w:lineRule="exact"/>
        <w:rPr>
          <w:lang w:eastAsia="en-GB"/>
        </w:rPr>
      </w:pPr>
    </w:p>
    <w:p w14:paraId="1687F0F7" w14:textId="56B98670" w:rsidR="0094480C" w:rsidRPr="00E4751E" w:rsidRDefault="00A344D8" w:rsidP="00E4751E">
      <w:pPr>
        <w:pStyle w:val="Heading2"/>
      </w:pPr>
      <w:r>
        <w:t xml:space="preserve">Financial </w:t>
      </w:r>
      <w:r w:rsidR="0047720F">
        <w:t>Assessments</w:t>
      </w:r>
    </w:p>
    <w:p w14:paraId="7BA99D5E" w14:textId="68E48AB9" w:rsidR="0094480C" w:rsidRDefault="00066E56" w:rsidP="008815EC">
      <w:pPr>
        <w:pStyle w:val="Heading3"/>
      </w:pPr>
      <w:r>
        <w:t xml:space="preserve">Customer </w:t>
      </w:r>
      <w:r w:rsidR="00BD7702">
        <w:t>C</w:t>
      </w:r>
      <w:r w:rsidR="000A5FB7">
        <w:t xml:space="preserve">are </w:t>
      </w:r>
      <w:r w:rsidR="00BD7702">
        <w:t>Costs</w:t>
      </w:r>
    </w:p>
    <w:p w14:paraId="5413DBBE" w14:textId="77777777" w:rsidR="00F55B8E" w:rsidRDefault="00F55B8E" w:rsidP="00F55B8E">
      <w:r>
        <w:t>It is not lawful for the Local Authority to charge an individual more than they can afford to pay.</w:t>
      </w:r>
    </w:p>
    <w:p w14:paraId="4FED0CE0" w14:textId="7C2796B4" w:rsidR="00F55B8E" w:rsidRPr="00F55B8E" w:rsidRDefault="00F55B8E" w:rsidP="00F55B8E">
      <w:r>
        <w:t xml:space="preserve">However, it is also not lawful for an individual not to contribute if they can afford to do so (and the services received are chargeable). </w:t>
      </w:r>
    </w:p>
    <w:p w14:paraId="5B5EA47D" w14:textId="1EB50E7D" w:rsidR="00801437" w:rsidRPr="00DE5BA6" w:rsidRDefault="00801437" w:rsidP="000A5FB7">
      <w:pPr>
        <w:rPr>
          <w:color w:val="808080" w:themeColor="background1" w:themeShade="80"/>
        </w:rPr>
      </w:pPr>
      <w:r w:rsidRPr="00DE5BA6">
        <w:rPr>
          <w:color w:val="808080" w:themeColor="background1" w:themeShade="80"/>
          <w:sz w:val="23"/>
          <w:szCs w:val="23"/>
        </w:rPr>
        <w:t xml:space="preserve">People over 18 years of age who have been assessed as being eligible for care at home, in the community or in a care home, will need a financial assessment to determine how much </w:t>
      </w:r>
      <w:r w:rsidR="00AB1164" w:rsidRPr="00DE5BA6">
        <w:rPr>
          <w:color w:val="808080" w:themeColor="background1" w:themeShade="80"/>
          <w:sz w:val="23"/>
          <w:szCs w:val="23"/>
        </w:rPr>
        <w:t>the</w:t>
      </w:r>
      <w:r w:rsidR="00706737" w:rsidRPr="00DE5BA6">
        <w:rPr>
          <w:color w:val="808080" w:themeColor="background1" w:themeShade="80"/>
          <w:sz w:val="23"/>
          <w:szCs w:val="23"/>
        </w:rPr>
        <w:t xml:space="preserve"> council will</w:t>
      </w:r>
      <w:r w:rsidR="00C73719" w:rsidRPr="00DE5BA6">
        <w:rPr>
          <w:color w:val="808080" w:themeColor="background1" w:themeShade="80"/>
          <w:sz w:val="23"/>
          <w:szCs w:val="23"/>
        </w:rPr>
        <w:t xml:space="preserve"> contribute toward</w:t>
      </w:r>
      <w:r w:rsidRPr="00DE5BA6">
        <w:rPr>
          <w:color w:val="808080" w:themeColor="background1" w:themeShade="80"/>
          <w:sz w:val="23"/>
          <w:szCs w:val="23"/>
        </w:rPr>
        <w:t xml:space="preserve"> </w:t>
      </w:r>
      <w:r w:rsidR="00AB1164" w:rsidRPr="00DE5BA6">
        <w:rPr>
          <w:color w:val="808080" w:themeColor="background1" w:themeShade="80"/>
          <w:sz w:val="23"/>
          <w:szCs w:val="23"/>
        </w:rPr>
        <w:t>their</w:t>
      </w:r>
      <w:r w:rsidRPr="00DE5BA6">
        <w:rPr>
          <w:color w:val="808080" w:themeColor="background1" w:themeShade="80"/>
          <w:sz w:val="23"/>
          <w:szCs w:val="23"/>
        </w:rPr>
        <w:t xml:space="preserve"> care costs.</w:t>
      </w:r>
    </w:p>
    <w:p w14:paraId="2D8F8A13" w14:textId="4724725C" w:rsidR="000A5FB7" w:rsidRPr="005A22A5" w:rsidRDefault="005767AB" w:rsidP="000A5FB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The </w:t>
      </w:r>
      <w:r w:rsidR="000A5FB7" w:rsidRPr="002C572A">
        <w:rPr>
          <w:b/>
          <w:bCs/>
          <w:color w:val="808080" w:themeColor="background1" w:themeShade="80"/>
        </w:rPr>
        <w:t xml:space="preserve">Adult Care Charges </w:t>
      </w:r>
      <w:r w:rsidR="002C572A" w:rsidRPr="002C572A">
        <w:rPr>
          <w:b/>
          <w:bCs/>
          <w:color w:val="808080" w:themeColor="background1" w:themeShade="80"/>
        </w:rPr>
        <w:t>C</w:t>
      </w:r>
      <w:r w:rsidR="000A5FB7" w:rsidRPr="002C572A">
        <w:rPr>
          <w:b/>
          <w:bCs/>
          <w:color w:val="808080" w:themeColor="background1" w:themeShade="80"/>
        </w:rPr>
        <w:t>alculator</w:t>
      </w:r>
      <w:r w:rsidR="000A5FB7" w:rsidRPr="008F2D87">
        <w:rPr>
          <w:color w:val="808080" w:themeColor="background1" w:themeShade="80"/>
        </w:rPr>
        <w:t xml:space="preserve"> </w:t>
      </w:r>
      <w:hyperlink r:id="rId9" w:history="1">
        <w:r w:rsidR="007E7888" w:rsidRPr="00381F3A">
          <w:rPr>
            <w:rStyle w:val="Hyperlink"/>
          </w:rPr>
          <w:t>https://lincolnshire.betteroff.org.uk/chargescalculator</w:t>
        </w:r>
      </w:hyperlink>
      <w:r w:rsidR="007E7888">
        <w:t xml:space="preserve"> </w:t>
      </w:r>
      <w:r w:rsidR="000A5FB7" w:rsidRPr="008F2D87">
        <w:rPr>
          <w:color w:val="808080" w:themeColor="background1" w:themeShade="80"/>
        </w:rPr>
        <w:t>tool provides customers</w:t>
      </w:r>
      <w:r w:rsidR="006D1121" w:rsidRPr="008F2D87">
        <w:rPr>
          <w:color w:val="808080" w:themeColor="background1" w:themeShade="80"/>
        </w:rPr>
        <w:t xml:space="preserve"> with an</w:t>
      </w:r>
      <w:r w:rsidR="000A5FB7" w:rsidRPr="008F2D87">
        <w:rPr>
          <w:color w:val="808080" w:themeColor="background1" w:themeShade="80"/>
        </w:rPr>
        <w:t xml:space="preserve"> indication of </w:t>
      </w:r>
      <w:r w:rsidR="006D1121" w:rsidRPr="008F2D87">
        <w:rPr>
          <w:color w:val="808080" w:themeColor="background1" w:themeShade="80"/>
        </w:rPr>
        <w:t xml:space="preserve">the cost of their care </w:t>
      </w:r>
      <w:r w:rsidR="004F7027">
        <w:rPr>
          <w:color w:val="808080" w:themeColor="background1" w:themeShade="80"/>
        </w:rPr>
        <w:t xml:space="preserve">and how </w:t>
      </w:r>
      <w:r w:rsidR="004E036F">
        <w:rPr>
          <w:color w:val="808080" w:themeColor="background1" w:themeShade="80"/>
        </w:rPr>
        <w:t>much they will be required to pay at a very early stage</w:t>
      </w:r>
      <w:r w:rsidR="007D2306">
        <w:rPr>
          <w:color w:val="808080" w:themeColor="background1" w:themeShade="80"/>
        </w:rPr>
        <w:t xml:space="preserve">. </w:t>
      </w:r>
      <w:r w:rsidR="007F5085">
        <w:rPr>
          <w:color w:val="808080" w:themeColor="background1" w:themeShade="80"/>
        </w:rPr>
        <w:t>Used w</w:t>
      </w:r>
      <w:r w:rsidR="006B707E">
        <w:rPr>
          <w:color w:val="808080" w:themeColor="background1" w:themeShade="80"/>
        </w:rPr>
        <w:t xml:space="preserve">ithin the </w:t>
      </w:r>
      <w:r w:rsidR="00067D12">
        <w:rPr>
          <w:color w:val="808080" w:themeColor="background1" w:themeShade="80"/>
        </w:rPr>
        <w:t>Adult Conversation Ste</w:t>
      </w:r>
      <w:r w:rsidR="00B30EB0">
        <w:rPr>
          <w:color w:val="808080" w:themeColor="background1" w:themeShade="80"/>
        </w:rPr>
        <w:t>p</w:t>
      </w:r>
      <w:r w:rsidR="00C0380A">
        <w:rPr>
          <w:color w:val="808080" w:themeColor="background1" w:themeShade="80"/>
        </w:rPr>
        <w:t>, t</w:t>
      </w:r>
      <w:r w:rsidR="000A5FB7" w:rsidRPr="008F2D87">
        <w:rPr>
          <w:color w:val="808080" w:themeColor="background1" w:themeShade="80"/>
        </w:rPr>
        <w:t>h</w:t>
      </w:r>
      <w:r w:rsidR="007D2306">
        <w:rPr>
          <w:color w:val="808080" w:themeColor="background1" w:themeShade="80"/>
        </w:rPr>
        <w:t>e</w:t>
      </w:r>
      <w:r w:rsidR="000A5FB7" w:rsidRPr="008F2D87">
        <w:rPr>
          <w:color w:val="808080" w:themeColor="background1" w:themeShade="80"/>
        </w:rPr>
        <w:t xml:space="preserve"> tool </w:t>
      </w:r>
      <w:r w:rsidR="00C0380A">
        <w:rPr>
          <w:color w:val="808080" w:themeColor="background1" w:themeShade="80"/>
        </w:rPr>
        <w:t xml:space="preserve">provides </w:t>
      </w:r>
      <w:r w:rsidR="000A5FB7" w:rsidRPr="008F2D87">
        <w:rPr>
          <w:color w:val="808080" w:themeColor="background1" w:themeShade="80"/>
        </w:rPr>
        <w:t xml:space="preserve">customers </w:t>
      </w:r>
      <w:r w:rsidR="00C0380A">
        <w:rPr>
          <w:color w:val="808080" w:themeColor="background1" w:themeShade="80"/>
        </w:rPr>
        <w:t xml:space="preserve">with </w:t>
      </w:r>
      <w:r w:rsidR="00DE5BA6">
        <w:rPr>
          <w:color w:val="808080" w:themeColor="background1" w:themeShade="80"/>
        </w:rPr>
        <w:t xml:space="preserve">crucial information </w:t>
      </w:r>
      <w:r w:rsidR="001E0DF9">
        <w:rPr>
          <w:color w:val="808080" w:themeColor="background1" w:themeShade="80"/>
        </w:rPr>
        <w:t>to</w:t>
      </w:r>
      <w:r w:rsidR="000A5FB7" w:rsidRPr="008F2D87">
        <w:rPr>
          <w:color w:val="808080" w:themeColor="background1" w:themeShade="80"/>
        </w:rPr>
        <w:t xml:space="preserve"> support </w:t>
      </w:r>
      <w:r w:rsidR="00BE4E3D">
        <w:rPr>
          <w:color w:val="808080" w:themeColor="background1" w:themeShade="80"/>
        </w:rPr>
        <w:t>their decision</w:t>
      </w:r>
      <w:r w:rsidR="00174A40">
        <w:rPr>
          <w:color w:val="808080" w:themeColor="background1" w:themeShade="80"/>
        </w:rPr>
        <w:t>s</w:t>
      </w:r>
      <w:r w:rsidR="000A5FB7" w:rsidRPr="008F2D87">
        <w:rPr>
          <w:color w:val="808080" w:themeColor="background1" w:themeShade="80"/>
        </w:rPr>
        <w:t xml:space="preserve"> about how they </w:t>
      </w:r>
      <w:r w:rsidR="006D2C67">
        <w:rPr>
          <w:color w:val="808080" w:themeColor="background1" w:themeShade="80"/>
        </w:rPr>
        <w:t xml:space="preserve">meet their outcomes and </w:t>
      </w:r>
      <w:r w:rsidR="000A5FB7" w:rsidRPr="008F2D87">
        <w:rPr>
          <w:color w:val="808080" w:themeColor="background1" w:themeShade="80"/>
        </w:rPr>
        <w:t xml:space="preserve">purchase care </w:t>
      </w:r>
      <w:r w:rsidR="00C47B8E" w:rsidRPr="00C47B8E">
        <w:rPr>
          <w:b/>
          <w:bCs/>
          <w:color w:val="70AD47" w:themeColor="accent6"/>
        </w:rPr>
        <w:t>before</w:t>
      </w:r>
      <w:r w:rsidR="000A5FB7" w:rsidRPr="00C47B8E">
        <w:rPr>
          <w:b/>
          <w:bCs/>
          <w:color w:val="808080" w:themeColor="background1" w:themeShade="80"/>
        </w:rPr>
        <w:t xml:space="preserve"> </w:t>
      </w:r>
      <w:r w:rsidR="000A5FB7" w:rsidRPr="008F2D87">
        <w:rPr>
          <w:color w:val="808080" w:themeColor="background1" w:themeShade="80"/>
        </w:rPr>
        <w:t xml:space="preserve">they </w:t>
      </w:r>
      <w:r w:rsidR="008F2D87" w:rsidRPr="008F2D87">
        <w:rPr>
          <w:color w:val="808080" w:themeColor="background1" w:themeShade="80"/>
        </w:rPr>
        <w:t>commence</w:t>
      </w:r>
      <w:r w:rsidR="000A5FB7" w:rsidRPr="008F2D87">
        <w:rPr>
          <w:color w:val="808080" w:themeColor="background1" w:themeShade="80"/>
        </w:rPr>
        <w:t xml:space="preserve"> the formal financial assessment process.</w:t>
      </w:r>
    </w:p>
    <w:p w14:paraId="0995DF46" w14:textId="6906BAD6" w:rsidR="00155B95" w:rsidRDefault="00233358" w:rsidP="00233358">
      <w:pPr>
        <w:pStyle w:val="Heading3"/>
      </w:pPr>
      <w:r>
        <w:t>Requesting a Financial Assessment</w:t>
      </w:r>
    </w:p>
    <w:p w14:paraId="3BD5C51B" w14:textId="53825923" w:rsidR="00AF1121" w:rsidRDefault="00AF1121" w:rsidP="00AF1121">
      <w:pPr>
        <w:jc w:val="center"/>
      </w:pPr>
      <w:r>
        <w:t>NB: To avoid unnecessary FA referrals, practitioners should</w:t>
      </w:r>
      <w:r w:rsidRPr="003974B1">
        <w:t xml:space="preserve"> consider if a full financial assessment is required or do SERCO already hold info that can be relied upon for all care and support planning scenarios?</w:t>
      </w:r>
    </w:p>
    <w:p w14:paraId="11485EED" w14:textId="0174C774" w:rsidR="00690BEF" w:rsidRDefault="00823019" w:rsidP="00C92ABA">
      <w:r>
        <w:t xml:space="preserve">A fuller description about </w:t>
      </w:r>
      <w:r w:rsidR="007B59CD">
        <w:t xml:space="preserve">financial </w:t>
      </w:r>
      <w:r>
        <w:t xml:space="preserve">assessments </w:t>
      </w:r>
      <w:r w:rsidR="007B59CD">
        <w:t>can be found in the</w:t>
      </w:r>
      <w:r w:rsidR="00CE0260">
        <w:t xml:space="preserve"> </w:t>
      </w:r>
      <w:hyperlink r:id="rId10" w:history="1">
        <w:r w:rsidR="00CE0260">
          <w:rPr>
            <w:rStyle w:val="Hyperlink"/>
            <w:i w:val="0"/>
            <w:iCs/>
          </w:rPr>
          <w:t>Charging and Financial Assessment</w:t>
        </w:r>
      </w:hyperlink>
      <w:r w:rsidR="007B59CD">
        <w:t xml:space="preserve"> </w:t>
      </w:r>
      <w:r w:rsidR="00CE0260">
        <w:t xml:space="preserve">section </w:t>
      </w:r>
      <w:r w:rsidR="00C47B8E">
        <w:t xml:space="preserve">of the Adult Care </w:t>
      </w:r>
      <w:r w:rsidR="00D22797">
        <w:t>procedures m</w:t>
      </w:r>
      <w:r w:rsidR="00C47B8E">
        <w:t>anual</w:t>
      </w:r>
    </w:p>
    <w:p w14:paraId="61D22B59" w14:textId="56AB9BB4" w:rsidR="00B2095D" w:rsidRPr="00C92ABA" w:rsidRDefault="00B2095D" w:rsidP="00C92ABA">
      <w:r>
        <w:t>Here is a brief explanation about the</w:t>
      </w:r>
      <w:r w:rsidR="008D3AD6">
        <w:t xml:space="preserve"> ways in which customers can be financially assessed. </w:t>
      </w:r>
    </w:p>
    <w:p w14:paraId="791FCDB5" w14:textId="3CC3788B" w:rsidR="009D0A2F" w:rsidRDefault="009D0A2F" w:rsidP="00A0370F">
      <w:pPr>
        <w:pStyle w:val="Heading4"/>
        <w:ind w:left="1003"/>
        <w15:collapsed/>
      </w:pPr>
      <w:r>
        <w:t>Light</w:t>
      </w:r>
      <w:r w:rsidR="00176BEC">
        <w:t xml:space="preserve"> Touch Financial Assessments</w:t>
      </w:r>
    </w:p>
    <w:p w14:paraId="31F43447" w14:textId="5C76C207" w:rsidR="00176BEC" w:rsidRDefault="00176BEC" w:rsidP="009D0A2F">
      <w:r>
        <w:t xml:space="preserve">With customer consent, there are occasions when </w:t>
      </w:r>
      <w:r w:rsidR="00FD402E">
        <w:t>the council may carry out a ‘light touch’ assessment</w:t>
      </w:r>
      <w:r w:rsidR="00D50EF4">
        <w:t xml:space="preserve">. The occasions when </w:t>
      </w:r>
      <w:r w:rsidR="006150C2">
        <w:t>light touch assessments are used are</w:t>
      </w:r>
      <w:r w:rsidR="008D3AD6">
        <w:t xml:space="preserve"> when</w:t>
      </w:r>
    </w:p>
    <w:p w14:paraId="45EFBB50" w14:textId="26B9D911" w:rsidR="006150C2" w:rsidRDefault="004C2C89" w:rsidP="009A3E7A">
      <w:pPr>
        <w:pStyle w:val="ListParagraph"/>
        <w:numPr>
          <w:ilvl w:val="0"/>
          <w:numId w:val="5"/>
        </w:numPr>
      </w:pPr>
      <w:r>
        <w:t xml:space="preserve">The person has significant </w:t>
      </w:r>
      <w:r w:rsidR="0019062D">
        <w:t>resources,</w:t>
      </w:r>
      <w:r>
        <w:t xml:space="preserve"> and they choose not to have a financial assessment.</w:t>
      </w:r>
    </w:p>
    <w:p w14:paraId="2ECCC9E9" w14:textId="636E7883" w:rsidR="0019062D" w:rsidRDefault="0019062D" w:rsidP="009A3E7A">
      <w:pPr>
        <w:pStyle w:val="ListParagraph"/>
        <w:numPr>
          <w:ilvl w:val="0"/>
          <w:numId w:val="5"/>
        </w:numPr>
      </w:pPr>
      <w:r>
        <w:t xml:space="preserve">The </w:t>
      </w:r>
      <w:r w:rsidR="00180B3C">
        <w:t xml:space="preserve">person’s care costs are </w:t>
      </w:r>
      <w:r w:rsidR="00111356">
        <w:t>small,</w:t>
      </w:r>
      <w:r w:rsidR="00370AB9">
        <w:t xml:space="preserve"> </w:t>
      </w:r>
      <w:r w:rsidR="00574E54">
        <w:t xml:space="preserve">they </w:t>
      </w:r>
      <w:r w:rsidR="00ED5C1D">
        <w:t>can</w:t>
      </w:r>
      <w:r w:rsidR="00574E54">
        <w:t xml:space="preserve"> pay these</w:t>
      </w:r>
      <w:r w:rsidR="001841FB">
        <w:t xml:space="preserve"> and still retain</w:t>
      </w:r>
      <w:r w:rsidR="00D17533">
        <w:t xml:space="preserve"> </w:t>
      </w:r>
      <w:r w:rsidR="001841FB">
        <w:t>their</w:t>
      </w:r>
      <w:r w:rsidR="003F6674">
        <w:t xml:space="preserve"> relevant</w:t>
      </w:r>
      <w:r w:rsidR="00D17533">
        <w:t xml:space="preserve"> minimum </w:t>
      </w:r>
      <w:r w:rsidR="003F6674">
        <w:t>income</w:t>
      </w:r>
    </w:p>
    <w:p w14:paraId="120DE15A" w14:textId="5929C216" w:rsidR="007156FA" w:rsidRDefault="007156FA" w:rsidP="009A3E7A">
      <w:pPr>
        <w:pStyle w:val="ListParagraph"/>
        <w:numPr>
          <w:ilvl w:val="0"/>
          <w:numId w:val="5"/>
        </w:numPr>
      </w:pPr>
      <w:r>
        <w:t xml:space="preserve">The person </w:t>
      </w:r>
      <w:r w:rsidR="0056603A">
        <w:t>can evidence that they are</w:t>
      </w:r>
      <w:r>
        <w:t xml:space="preserve"> </w:t>
      </w:r>
      <w:r w:rsidR="00111356">
        <w:t xml:space="preserve">in receipt of certain </w:t>
      </w:r>
      <w:r w:rsidR="002B63A4">
        <w:t>‘</w:t>
      </w:r>
      <w:r w:rsidR="00ED5C1D">
        <w:t>passport</w:t>
      </w:r>
      <w:r w:rsidR="002B63A4">
        <w:t>’</w:t>
      </w:r>
      <w:r w:rsidR="00ED5C1D">
        <w:t xml:space="preserve"> </w:t>
      </w:r>
      <w:r w:rsidR="00111356">
        <w:t>benefits</w:t>
      </w:r>
      <w:r w:rsidR="002B63A4">
        <w:t xml:space="preserve"> which demonstrate</w:t>
      </w:r>
      <w:r w:rsidR="00A60E64">
        <w:t xml:space="preserve"> </w:t>
      </w:r>
      <w:r w:rsidR="001E53B0">
        <w:t>a low level of income</w:t>
      </w:r>
      <w:r w:rsidR="00241143">
        <w:t>.</w:t>
      </w:r>
    </w:p>
    <w:p w14:paraId="23EE1F41" w14:textId="77777777" w:rsidR="00D50EF4" w:rsidRPr="009D0A2F" w:rsidRDefault="00D50EF4" w:rsidP="009D0A2F"/>
    <w:p w14:paraId="613C57C3" w14:textId="46F29237" w:rsidR="00233358" w:rsidRDefault="00233358" w:rsidP="00A0370F">
      <w:pPr>
        <w:pStyle w:val="Heading4"/>
        <w:ind w:left="1003"/>
        <w15:collapsed/>
      </w:pPr>
      <w:r>
        <w:t xml:space="preserve">Online Financial Assessments </w:t>
      </w:r>
      <w:r w:rsidR="00C346D5">
        <w:t xml:space="preserve">– </w:t>
      </w:r>
      <w:r w:rsidR="00A511AE">
        <w:t>Non-residential</w:t>
      </w:r>
      <w:r w:rsidR="00C346D5">
        <w:t xml:space="preserve"> care only</w:t>
      </w:r>
    </w:p>
    <w:p w14:paraId="69A827F0" w14:textId="08E419D7" w:rsidR="001332A6" w:rsidRDefault="00037CD1" w:rsidP="00712E64">
      <w:pPr>
        <w:rPr>
          <w:color w:val="808080" w:themeColor="background1" w:themeShade="80"/>
        </w:rPr>
      </w:pPr>
      <w:r w:rsidRPr="0076604C">
        <w:rPr>
          <w:color w:val="808080" w:themeColor="background1" w:themeShade="80"/>
        </w:rPr>
        <w:t>The online financial assessment</w:t>
      </w:r>
      <w:r w:rsidR="00712E64" w:rsidRPr="0076604C">
        <w:rPr>
          <w:color w:val="808080" w:themeColor="background1" w:themeShade="80"/>
        </w:rPr>
        <w:t xml:space="preserve"> provides customers (or their representatives) who have internet access with a </w:t>
      </w:r>
      <w:r w:rsidR="002A72C9" w:rsidRPr="0076604C">
        <w:rPr>
          <w:color w:val="808080" w:themeColor="background1" w:themeShade="80"/>
        </w:rPr>
        <w:t xml:space="preserve">link to the </w:t>
      </w:r>
      <w:r w:rsidR="003D4513" w:rsidRPr="0076604C">
        <w:rPr>
          <w:color w:val="808080" w:themeColor="background1" w:themeShade="80"/>
        </w:rPr>
        <w:t xml:space="preserve">to the Better </w:t>
      </w:r>
      <w:r w:rsidR="00A511AE" w:rsidRPr="0076604C">
        <w:rPr>
          <w:color w:val="808080" w:themeColor="background1" w:themeShade="80"/>
        </w:rPr>
        <w:t>Off website</w:t>
      </w:r>
      <w:r w:rsidR="00DD142A">
        <w:rPr>
          <w:color w:val="808080" w:themeColor="background1" w:themeShade="80"/>
        </w:rPr>
        <w:t>.</w:t>
      </w:r>
      <w:r w:rsidR="00A511AE" w:rsidRPr="0076604C">
        <w:rPr>
          <w:color w:val="808080" w:themeColor="background1" w:themeShade="80"/>
        </w:rPr>
        <w:t xml:space="preserve"> </w:t>
      </w:r>
      <w:r w:rsidR="001332A6" w:rsidRPr="00B63B3B">
        <w:rPr>
          <w:color w:val="808080" w:themeColor="background1" w:themeShade="80"/>
        </w:rPr>
        <w:t xml:space="preserve">The website </w:t>
      </w:r>
      <w:r w:rsidR="007B3C3F" w:rsidRPr="00B63B3B">
        <w:rPr>
          <w:color w:val="808080" w:themeColor="background1" w:themeShade="80"/>
        </w:rPr>
        <w:t>can</w:t>
      </w:r>
      <w:r w:rsidR="001332A6" w:rsidRPr="00B63B3B">
        <w:rPr>
          <w:color w:val="808080" w:themeColor="background1" w:themeShade="80"/>
        </w:rPr>
        <w:t xml:space="preserve"> offer additional </w:t>
      </w:r>
      <w:r w:rsidR="00B63B3B" w:rsidRPr="00B63B3B">
        <w:rPr>
          <w:color w:val="808080" w:themeColor="background1" w:themeShade="80"/>
        </w:rPr>
        <w:t xml:space="preserve">information, </w:t>
      </w:r>
      <w:proofErr w:type="gramStart"/>
      <w:r w:rsidR="001332A6" w:rsidRPr="00B63B3B">
        <w:rPr>
          <w:color w:val="808080" w:themeColor="background1" w:themeShade="80"/>
        </w:rPr>
        <w:t>support</w:t>
      </w:r>
      <w:proofErr w:type="gramEnd"/>
      <w:r w:rsidR="001332A6" w:rsidRPr="00B63B3B">
        <w:rPr>
          <w:color w:val="808080" w:themeColor="background1" w:themeShade="80"/>
        </w:rPr>
        <w:t xml:space="preserve"> and advice to customers</w:t>
      </w:r>
      <w:r w:rsidR="007B3C3F">
        <w:rPr>
          <w:color w:val="808080" w:themeColor="background1" w:themeShade="80"/>
        </w:rPr>
        <w:t xml:space="preserve">/reps </w:t>
      </w:r>
      <w:r w:rsidR="001332A6" w:rsidRPr="00B63B3B">
        <w:rPr>
          <w:color w:val="808080" w:themeColor="background1" w:themeShade="80"/>
        </w:rPr>
        <w:t>about finances and benefit maximisation</w:t>
      </w:r>
      <w:r w:rsidR="00B63B3B" w:rsidRPr="00B63B3B">
        <w:rPr>
          <w:color w:val="808080" w:themeColor="background1" w:themeShade="80"/>
        </w:rPr>
        <w:t>.</w:t>
      </w:r>
    </w:p>
    <w:p w14:paraId="7EF1F952" w14:textId="6593A403" w:rsidR="00712E64" w:rsidRPr="0076604C" w:rsidRDefault="007B3C3F" w:rsidP="00712E64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Customers/reps are issued with a</w:t>
      </w:r>
      <w:r w:rsidR="008E206E">
        <w:rPr>
          <w:color w:val="808080" w:themeColor="background1" w:themeShade="80"/>
        </w:rPr>
        <w:t xml:space="preserve"> </w:t>
      </w:r>
      <w:r w:rsidR="00712E64" w:rsidRPr="0076604C">
        <w:rPr>
          <w:color w:val="808080" w:themeColor="background1" w:themeShade="80"/>
        </w:rPr>
        <w:t xml:space="preserve">unique PIN number </w:t>
      </w:r>
      <w:r>
        <w:rPr>
          <w:color w:val="808080" w:themeColor="background1" w:themeShade="80"/>
        </w:rPr>
        <w:t>so that they</w:t>
      </w:r>
      <w:r w:rsidR="0082720C">
        <w:rPr>
          <w:color w:val="808080" w:themeColor="background1" w:themeShade="80"/>
        </w:rPr>
        <w:t xml:space="preserve"> can</w:t>
      </w:r>
      <w:r w:rsidR="00712E64" w:rsidRPr="0076604C">
        <w:rPr>
          <w:color w:val="808080" w:themeColor="background1" w:themeShade="80"/>
        </w:rPr>
        <w:t xml:space="preserve"> securely provide their information and evidence, therefore accelerating their financial assessment outcome.</w:t>
      </w:r>
    </w:p>
    <w:p w14:paraId="26CD4197" w14:textId="77777777" w:rsidR="008E206E" w:rsidRDefault="00C269FE" w:rsidP="00C269FE">
      <w:r>
        <w:t xml:space="preserve">A video explaining the online financial assessment system has been provided to support </w:t>
      </w:r>
      <w:r w:rsidR="008E206E">
        <w:t>your</w:t>
      </w:r>
      <w:r>
        <w:t xml:space="preserve"> understanding of the system and its benefits</w:t>
      </w:r>
      <w:r w:rsidR="008E206E">
        <w:t>.</w:t>
      </w:r>
    </w:p>
    <w:p w14:paraId="338D892D" w14:textId="74FB77CE" w:rsidR="00C269FE" w:rsidRDefault="00C269FE" w:rsidP="00C269FE">
      <w:r>
        <w:t xml:space="preserve"> Please take the time to view this short video</w:t>
      </w:r>
      <w:r w:rsidR="00FB0EEF">
        <w:t xml:space="preserve"> by using the</w:t>
      </w:r>
      <w:r>
        <w:t xml:space="preserve"> link below. </w:t>
      </w:r>
    </w:p>
    <w:p w14:paraId="21C38140" w14:textId="02CB7F32" w:rsidR="000A31A0" w:rsidRDefault="008F5B4E" w:rsidP="00C269FE">
      <w:hyperlink r:id="rId11" w:history="1">
        <w:r w:rsidR="00C269FE" w:rsidRPr="0016432C">
          <w:rPr>
            <w:rStyle w:val="Hyperlink"/>
          </w:rPr>
          <w:t>https://www.youtube.com/watch?v=c6SGzHKreWs</w:t>
        </w:r>
      </w:hyperlink>
      <w:r w:rsidR="00C269FE">
        <w:t xml:space="preserve"> </w:t>
      </w:r>
    </w:p>
    <w:p w14:paraId="736EBD6A" w14:textId="61D334AB" w:rsidR="00C346D5" w:rsidRPr="00233358" w:rsidRDefault="00C346D5" w:rsidP="00A0370F">
      <w:pPr>
        <w:pStyle w:val="Heading4"/>
        <w:ind w:left="1003"/>
        <w15:collapsed/>
      </w:pPr>
      <w:r>
        <w:t>Paper Finan</w:t>
      </w:r>
      <w:r w:rsidR="000A31A0">
        <w:t>cial Assessment</w:t>
      </w:r>
    </w:p>
    <w:p w14:paraId="5CCCD7B8" w14:textId="76D4CEB1" w:rsidR="00981A91" w:rsidRDefault="00981A91" w:rsidP="00CD6F14">
      <w:r>
        <w:t xml:space="preserve">A paper </w:t>
      </w:r>
      <w:r w:rsidR="00C4796F">
        <w:t xml:space="preserve">financial assessment </w:t>
      </w:r>
      <w:r w:rsidR="007E7A52">
        <w:t xml:space="preserve">form </w:t>
      </w:r>
      <w:r w:rsidR="00C4796F">
        <w:t xml:space="preserve">can be provided for the customer or their </w:t>
      </w:r>
      <w:r w:rsidR="007E7A52">
        <w:t>legally appointed financial rep to complete and return by post</w:t>
      </w:r>
      <w:r w:rsidR="00FB0EEF">
        <w:t>.</w:t>
      </w:r>
    </w:p>
    <w:p w14:paraId="5D0A474C" w14:textId="7DA0FFF6" w:rsidR="00FB0EEF" w:rsidRDefault="00BF2090" w:rsidP="00CD6F14">
      <w:r>
        <w:t>The assessment outcome is</w:t>
      </w:r>
      <w:r w:rsidR="00CD34D9">
        <w:t xml:space="preserve"> slower</w:t>
      </w:r>
      <w:r w:rsidR="005E6060">
        <w:t xml:space="preserve"> when the paper form is used</w:t>
      </w:r>
      <w:r w:rsidR="00CD34D9">
        <w:t xml:space="preserve"> and </w:t>
      </w:r>
      <w:r>
        <w:t xml:space="preserve">providing evidence </w:t>
      </w:r>
      <w:r w:rsidR="00071D9D">
        <w:t xml:space="preserve">can be </w:t>
      </w:r>
      <w:r>
        <w:t xml:space="preserve">more difficult, however </w:t>
      </w:r>
      <w:r w:rsidR="005E6060">
        <w:t xml:space="preserve">it is recognised that </w:t>
      </w:r>
      <w:r w:rsidR="007636FC">
        <w:t>some customers/reps cannot access the online system</w:t>
      </w:r>
      <w:r w:rsidR="00421E03">
        <w:t>.</w:t>
      </w:r>
    </w:p>
    <w:p w14:paraId="04099E7C" w14:textId="77777777" w:rsidR="00A00CA1" w:rsidRDefault="00676A34" w:rsidP="00A0370F">
      <w:pPr>
        <w:pStyle w:val="Heading4"/>
        <w:ind w:left="1004" w:firstLine="436"/>
      </w:pPr>
      <w:r>
        <w:t xml:space="preserve">Hand delivering </w:t>
      </w:r>
      <w:r w:rsidR="00A00CA1">
        <w:t>FA Forms</w:t>
      </w:r>
    </w:p>
    <w:p w14:paraId="3D2EE3EC" w14:textId="25AD4A56" w:rsidR="00B93A4E" w:rsidRDefault="004963FD" w:rsidP="00CD6F14">
      <w:r w:rsidRPr="004963FD">
        <w:t xml:space="preserve">Business Support </w:t>
      </w:r>
      <w:r w:rsidR="008A5BB3">
        <w:t xml:space="preserve">(BS) </w:t>
      </w:r>
      <w:r>
        <w:t xml:space="preserve">teams </w:t>
      </w:r>
      <w:r w:rsidR="00262555">
        <w:t>have copies of the paper financial assessment form</w:t>
      </w:r>
      <w:r w:rsidR="00606D27">
        <w:t>. You will need to collect a copy</w:t>
      </w:r>
      <w:r w:rsidR="008A5BB3">
        <w:t xml:space="preserve"> of the form from BS </w:t>
      </w:r>
      <w:r w:rsidR="00040C3C">
        <w:t xml:space="preserve">to hand deliver to customers/reps when you are making a </w:t>
      </w:r>
      <w:r w:rsidR="00B93A4E">
        <w:t>face-to-face</w:t>
      </w:r>
      <w:r w:rsidR="00040C3C">
        <w:t xml:space="preserve"> visit</w:t>
      </w:r>
      <w:r w:rsidR="00B93A4E">
        <w:t xml:space="preserve">. </w:t>
      </w:r>
    </w:p>
    <w:p w14:paraId="5096ECB5" w14:textId="77777777" w:rsidR="00A00CA1" w:rsidRDefault="00A00CA1" w:rsidP="00A0370F">
      <w:pPr>
        <w:pStyle w:val="Heading4"/>
        <w:ind w:left="1004" w:firstLine="436"/>
      </w:pPr>
      <w:r>
        <w:t>Posting FA Forms</w:t>
      </w:r>
    </w:p>
    <w:p w14:paraId="248873FC" w14:textId="176BF5A9" w:rsidR="00421E03" w:rsidRDefault="00B93A4E" w:rsidP="00CD6F14">
      <w:r>
        <w:t>If</w:t>
      </w:r>
      <w:r w:rsidR="00B25F0C">
        <w:t xml:space="preserve"> a</w:t>
      </w:r>
      <w:r>
        <w:t xml:space="preserve"> </w:t>
      </w:r>
      <w:r w:rsidR="00B25F0C">
        <w:t xml:space="preserve">face-to-face visit is not possible, </w:t>
      </w:r>
      <w:r w:rsidR="00ED7A9B">
        <w:t>t</w:t>
      </w:r>
      <w:r w:rsidR="007D39EA" w:rsidRPr="007D39EA">
        <w:t xml:space="preserve">he </w:t>
      </w:r>
      <w:r w:rsidR="00091414">
        <w:t xml:space="preserve">Mosaic </w:t>
      </w:r>
      <w:r w:rsidR="007D39EA" w:rsidRPr="007D39EA">
        <w:t xml:space="preserve">Adult Correspondence work step is to be used to request that Business support post the form out on </w:t>
      </w:r>
      <w:r w:rsidR="00ED7A9B">
        <w:t>y</w:t>
      </w:r>
      <w:r w:rsidR="007D39EA" w:rsidRPr="007D39EA">
        <w:t>our behalf.</w:t>
      </w:r>
    </w:p>
    <w:p w14:paraId="0669DB12" w14:textId="6040B5A0" w:rsidR="00E155BC" w:rsidRDefault="001E59D7" w:rsidP="009C1F11">
      <w:pPr>
        <w:pStyle w:val="Heading3"/>
      </w:pPr>
      <w:r>
        <w:t>Complaints</w:t>
      </w:r>
      <w:r w:rsidR="00DE741A">
        <w:t xml:space="preserve"> received about </w:t>
      </w:r>
      <w:r w:rsidR="00174A40">
        <w:t xml:space="preserve">the Financial </w:t>
      </w:r>
      <w:r w:rsidR="00830573">
        <w:t>Assessment and</w:t>
      </w:r>
      <w:r w:rsidR="009C1F11">
        <w:t xml:space="preserve"> what have we learnt from them</w:t>
      </w:r>
    </w:p>
    <w:p w14:paraId="2B644562" w14:textId="4ED9355A" w:rsidR="004D7989" w:rsidRDefault="00111CC7" w:rsidP="00E60E97">
      <w:pPr>
        <w:pStyle w:val="Heading4"/>
      </w:pPr>
      <w:r>
        <w:t xml:space="preserve">Complaints about </w:t>
      </w:r>
      <w:r w:rsidR="00837004">
        <w:t>F</w:t>
      </w:r>
      <w:r>
        <w:t>A’s and non</w:t>
      </w:r>
      <w:r w:rsidR="00E60E97">
        <w:t>-</w:t>
      </w:r>
      <w:r>
        <w:t>compliance with the Care Act</w:t>
      </w:r>
    </w:p>
    <w:p w14:paraId="540031EE" w14:textId="64487337" w:rsidR="00111CC7" w:rsidRPr="004D7989" w:rsidRDefault="00111CC7" w:rsidP="00E60E97">
      <w:pPr>
        <w:pStyle w:val="Heading4"/>
      </w:pPr>
      <w:r>
        <w:t>What have we learnt from those complaints</w:t>
      </w:r>
      <w:r w:rsidR="00E60E97">
        <w:t>?</w:t>
      </w:r>
    </w:p>
    <w:p w14:paraId="798D522C" w14:textId="663635A0" w:rsidR="002C33B6" w:rsidRPr="002C33B6" w:rsidRDefault="002C33B6" w:rsidP="002C33B6">
      <w:pPr>
        <w:pStyle w:val="Heading3"/>
      </w:pPr>
      <w:r>
        <w:t>Q&amp;As</w:t>
      </w:r>
    </w:p>
    <w:p w14:paraId="2B2F337C" w14:textId="77777777" w:rsidR="009C1F11" w:rsidRPr="009C1F11" w:rsidRDefault="009C1F11" w:rsidP="009C1F11"/>
    <w:p w14:paraId="4B1F0A25" w14:textId="3B5CE12B" w:rsidR="00D14F83" w:rsidRPr="00D14F83" w:rsidRDefault="00D14F83" w:rsidP="00373013">
      <w:pPr>
        <w:pStyle w:val="Heading3"/>
      </w:pPr>
      <w:r w:rsidRPr="00D14F83">
        <w:t xml:space="preserve">What is </w:t>
      </w:r>
      <w:r w:rsidR="008F574F">
        <w:t>my</w:t>
      </w:r>
      <w:r w:rsidRPr="00D14F83">
        <w:t xml:space="preserve"> role?</w:t>
      </w:r>
    </w:p>
    <w:p w14:paraId="5C7F6631" w14:textId="77777777" w:rsidR="00A25D39" w:rsidRPr="00A25D39" w:rsidRDefault="00A25D39" w:rsidP="00357A73">
      <w:r w:rsidRPr="00A25D39">
        <w:t xml:space="preserve">Practitioners need to </w:t>
      </w:r>
    </w:p>
    <w:p w14:paraId="548E0F8A" w14:textId="5157579A" w:rsidR="00AF1121" w:rsidRDefault="00AF1121" w:rsidP="009A3E7A">
      <w:pPr>
        <w:pStyle w:val="ListParagraph"/>
        <w:numPr>
          <w:ilvl w:val="0"/>
          <w:numId w:val="3"/>
        </w:numPr>
      </w:pPr>
      <w:r>
        <w:t>C</w:t>
      </w:r>
      <w:r w:rsidR="0007721C">
        <w:t>onsider if</w:t>
      </w:r>
      <w:r>
        <w:t xml:space="preserve"> a new FA is required</w:t>
      </w:r>
    </w:p>
    <w:p w14:paraId="1E804D94" w14:textId="4AA26F21" w:rsidR="00A25D39" w:rsidRPr="00A25D39" w:rsidRDefault="00A25D39" w:rsidP="009A3E7A">
      <w:pPr>
        <w:pStyle w:val="ListParagraph"/>
        <w:numPr>
          <w:ilvl w:val="0"/>
          <w:numId w:val="3"/>
        </w:numPr>
      </w:pPr>
      <w:r w:rsidRPr="00A25D39">
        <w:t xml:space="preserve">Confirm persons capacity in relation to financial affairs and record detail of representatives with legal authority to act on the persons behalf  </w:t>
      </w:r>
    </w:p>
    <w:p w14:paraId="3B2CF032" w14:textId="42304FF6" w:rsidR="00A25D39" w:rsidRDefault="00A25D39" w:rsidP="009A3E7A">
      <w:pPr>
        <w:pStyle w:val="ListParagraph"/>
        <w:numPr>
          <w:ilvl w:val="0"/>
          <w:numId w:val="3"/>
        </w:numPr>
      </w:pPr>
      <w:r w:rsidRPr="00A25D39">
        <w:t>Provide person/rep with a copy of the</w:t>
      </w:r>
      <w:r w:rsidR="005447FD">
        <w:t xml:space="preserve"> </w:t>
      </w:r>
      <w:hyperlink r:id="rId12" w:history="1">
        <w:r w:rsidR="005447FD">
          <w:rPr>
            <w:rStyle w:val="Hyperlink"/>
          </w:rPr>
          <w:t>Adult Care Charging Policy</w:t>
        </w:r>
      </w:hyperlink>
      <w:r w:rsidR="005447FD">
        <w:t xml:space="preserve"> </w:t>
      </w:r>
      <w:r w:rsidRPr="00A25D39">
        <w:t xml:space="preserve"> </w:t>
      </w:r>
      <w:r w:rsidR="00357A73" w:rsidRPr="00A25D39">
        <w:t>&amp;</w:t>
      </w:r>
      <w:r w:rsidRPr="00A25D39">
        <w:t xml:space="preserve"> any relevant factsheets </w:t>
      </w:r>
    </w:p>
    <w:p w14:paraId="73129258" w14:textId="77777777" w:rsidR="008F0D9F" w:rsidRDefault="008F5B4E" w:rsidP="009A3E7A">
      <w:pPr>
        <w:pStyle w:val="ListParagraph"/>
        <w:numPr>
          <w:ilvl w:val="1"/>
          <w:numId w:val="3"/>
        </w:numPr>
      </w:pPr>
      <w:hyperlink r:id="rId13" w:history="1">
        <w:r w:rsidR="008F0D9F">
          <w:rPr>
            <w:rStyle w:val="Hyperlink"/>
          </w:rPr>
          <w:t>factsheet-charging-for-residential-care.</w:t>
        </w:r>
      </w:hyperlink>
    </w:p>
    <w:p w14:paraId="52786749" w14:textId="26DD529D" w:rsidR="008F0D9F" w:rsidRDefault="008F5B4E" w:rsidP="009A3E7A">
      <w:pPr>
        <w:pStyle w:val="ListParagraph"/>
        <w:numPr>
          <w:ilvl w:val="1"/>
          <w:numId w:val="3"/>
        </w:numPr>
      </w:pPr>
      <w:hyperlink r:id="rId14" w:history="1">
        <w:r w:rsidR="00C16523">
          <w:rPr>
            <w:rStyle w:val="Hyperlink"/>
          </w:rPr>
          <w:t>factsheet-charging-for-community-care.</w:t>
        </w:r>
      </w:hyperlink>
      <w:r w:rsidR="00C16523">
        <w:t xml:space="preserve"> </w:t>
      </w:r>
    </w:p>
    <w:p w14:paraId="55E70014" w14:textId="77777777" w:rsidR="000017FB" w:rsidRDefault="008F5B4E" w:rsidP="009A3E7A">
      <w:pPr>
        <w:pStyle w:val="ListParagraph"/>
        <w:numPr>
          <w:ilvl w:val="1"/>
          <w:numId w:val="3"/>
        </w:numPr>
      </w:pPr>
      <w:hyperlink r:id="rId15" w:history="1">
        <w:r w:rsidR="000017FB">
          <w:rPr>
            <w:rStyle w:val="Hyperlink"/>
          </w:rPr>
          <w:t>factsheet-deferred-payments.</w:t>
        </w:r>
      </w:hyperlink>
    </w:p>
    <w:p w14:paraId="13B7117A" w14:textId="5C4D508F" w:rsidR="00C16523" w:rsidRDefault="008F5B4E" w:rsidP="009A3E7A">
      <w:pPr>
        <w:pStyle w:val="ListParagraph"/>
        <w:numPr>
          <w:ilvl w:val="1"/>
          <w:numId w:val="3"/>
        </w:numPr>
      </w:pPr>
      <w:hyperlink r:id="rId16" w:history="1">
        <w:r w:rsidR="00303E17">
          <w:rPr>
            <w:rStyle w:val="Hyperlink"/>
          </w:rPr>
          <w:t>factsheet-direct-payments.</w:t>
        </w:r>
      </w:hyperlink>
      <w:r w:rsidR="00303E17">
        <w:t xml:space="preserve"> </w:t>
      </w:r>
    </w:p>
    <w:p w14:paraId="0A38A6FA" w14:textId="77777777" w:rsidR="00D60905" w:rsidRDefault="008F5B4E" w:rsidP="009A3E7A">
      <w:pPr>
        <w:pStyle w:val="ListParagraph"/>
        <w:numPr>
          <w:ilvl w:val="1"/>
          <w:numId w:val="3"/>
        </w:numPr>
      </w:pPr>
      <w:hyperlink r:id="rId17" w:history="1">
        <w:r w:rsidR="007511D7">
          <w:rPr>
            <w:rStyle w:val="Hyperlink"/>
          </w:rPr>
          <w:t>factsheet-paying-for-adult-care.</w:t>
        </w:r>
      </w:hyperlink>
    </w:p>
    <w:p w14:paraId="1D185EFC" w14:textId="10351E46" w:rsidR="00303E17" w:rsidRPr="00A25D39" w:rsidRDefault="008F5B4E" w:rsidP="009A3E7A">
      <w:pPr>
        <w:pStyle w:val="ListParagraph"/>
        <w:numPr>
          <w:ilvl w:val="1"/>
          <w:numId w:val="3"/>
        </w:numPr>
      </w:pPr>
      <w:hyperlink r:id="rId18" w:history="1">
        <w:r w:rsidR="00D60905">
          <w:rPr>
            <w:rStyle w:val="Hyperlink"/>
          </w:rPr>
          <w:t>factsheet-self-funders.</w:t>
        </w:r>
      </w:hyperlink>
      <w:r w:rsidR="00D60905">
        <w:t xml:space="preserve"> </w:t>
      </w:r>
    </w:p>
    <w:p w14:paraId="4607884E" w14:textId="64620FC1" w:rsidR="00A25D39" w:rsidRDefault="00A25D39" w:rsidP="009A3E7A">
      <w:pPr>
        <w:pStyle w:val="ListParagraph"/>
        <w:numPr>
          <w:ilvl w:val="0"/>
          <w:numId w:val="3"/>
        </w:numPr>
      </w:pPr>
      <w:r w:rsidRPr="00A25D39">
        <w:t xml:space="preserve">Provide person/rep with a link to </w:t>
      </w:r>
      <w:hyperlink r:id="rId19" w:history="1">
        <w:r w:rsidR="002C572A" w:rsidRPr="00381F3A">
          <w:rPr>
            <w:rStyle w:val="Hyperlink"/>
          </w:rPr>
          <w:t>https://lincolnshire.betteroff.org.uk/chargescalculator</w:t>
        </w:r>
      </w:hyperlink>
      <w:r w:rsidR="002C572A">
        <w:t xml:space="preserve"> </w:t>
      </w:r>
      <w:r w:rsidRPr="00A25D39">
        <w:t xml:space="preserve">  </w:t>
      </w:r>
    </w:p>
    <w:p w14:paraId="21033A74" w14:textId="77777777" w:rsidR="00407397" w:rsidRPr="00A25D39" w:rsidRDefault="00407397" w:rsidP="00407397">
      <w:pPr>
        <w:pStyle w:val="ListParagraph"/>
        <w:numPr>
          <w:ilvl w:val="0"/>
          <w:numId w:val="0"/>
        </w:numPr>
        <w:ind w:left="720"/>
      </w:pPr>
    </w:p>
    <w:p w14:paraId="2A04DF85" w14:textId="59A0C9F7" w:rsidR="00A25D39" w:rsidRDefault="00A25D39" w:rsidP="00F61D4C">
      <w:r w:rsidRPr="00A25D39">
        <w:t xml:space="preserve">If the person or rep wishes to proceed with an application for assistance toward the cost of their care fees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6"/>
        <w:gridCol w:w="4110"/>
      </w:tblGrid>
      <w:tr w:rsidR="005A51C8" w14:paraId="36AFE515" w14:textId="77777777" w:rsidTr="00614B4D">
        <w:tc>
          <w:tcPr>
            <w:tcW w:w="5382" w:type="dxa"/>
          </w:tcPr>
          <w:p w14:paraId="5641F68B" w14:textId="77777777" w:rsidR="005A51C8" w:rsidRDefault="005A51C8" w:rsidP="00614B4D">
            <w:pPr>
              <w:jc w:val="center"/>
              <w:rPr>
                <w:color w:val="70AD47" w:themeColor="accent6"/>
                <w:sz w:val="24"/>
                <w:szCs w:val="24"/>
              </w:rPr>
            </w:pPr>
            <w:r w:rsidRPr="00614B4D">
              <w:rPr>
                <w:color w:val="70AD47" w:themeColor="accent6"/>
                <w:sz w:val="24"/>
                <w:szCs w:val="24"/>
              </w:rPr>
              <w:t>Online FA Process</w:t>
            </w:r>
          </w:p>
          <w:p w14:paraId="056E529C" w14:textId="14C935B1" w:rsidR="00407397" w:rsidRPr="00614B4D" w:rsidRDefault="00407397" w:rsidP="00614B4D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70AD47" w:themeColor="accent6"/>
                <w:sz w:val="24"/>
                <w:szCs w:val="24"/>
              </w:rPr>
              <w:t>↓</w:t>
            </w:r>
          </w:p>
        </w:tc>
        <w:tc>
          <w:tcPr>
            <w:tcW w:w="4354" w:type="dxa"/>
          </w:tcPr>
          <w:p w14:paraId="3371FC2C" w14:textId="77777777" w:rsidR="005A51C8" w:rsidRDefault="005A51C8" w:rsidP="00614B4D">
            <w:pPr>
              <w:jc w:val="center"/>
              <w:rPr>
                <w:color w:val="70AD47" w:themeColor="accent6"/>
                <w:sz w:val="24"/>
                <w:szCs w:val="24"/>
              </w:rPr>
            </w:pPr>
            <w:r w:rsidRPr="00614B4D">
              <w:rPr>
                <w:color w:val="70AD47" w:themeColor="accent6"/>
                <w:sz w:val="24"/>
                <w:szCs w:val="24"/>
              </w:rPr>
              <w:t>Paper FA Process</w:t>
            </w:r>
          </w:p>
          <w:p w14:paraId="7463E0B1" w14:textId="36E4035E" w:rsidR="00407397" w:rsidRPr="00614B4D" w:rsidRDefault="00407397" w:rsidP="00614B4D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70AD47" w:themeColor="accent6"/>
                <w:sz w:val="24"/>
                <w:szCs w:val="24"/>
              </w:rPr>
              <w:t>↓</w:t>
            </w:r>
          </w:p>
        </w:tc>
      </w:tr>
      <w:tr w:rsidR="005A51C8" w14:paraId="1D5A9045" w14:textId="77777777" w:rsidTr="00614B4D">
        <w:tc>
          <w:tcPr>
            <w:tcW w:w="5382" w:type="dxa"/>
          </w:tcPr>
          <w:p w14:paraId="740BE173" w14:textId="21B14A67" w:rsidR="00614B4D" w:rsidRDefault="005A51C8" w:rsidP="009A3E7A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</w:pPr>
            <w:r>
              <w:t xml:space="preserve">Provide the person/rep with the online link to </w:t>
            </w:r>
            <w:hyperlink r:id="rId20" w:history="1">
              <w:r w:rsidRPr="00381F3A">
                <w:rPr>
                  <w:rStyle w:val="Hyperlink"/>
                </w:rPr>
                <w:t>https://lincolnshire.betteroff.org.uk/financialassessment</w:t>
              </w:r>
            </w:hyperlink>
          </w:p>
          <w:p w14:paraId="5FF0D422" w14:textId="77C24CDE" w:rsidR="005A51C8" w:rsidRDefault="005A51C8" w:rsidP="005A51C8">
            <w:r>
              <w:t xml:space="preserve">  </w:t>
            </w:r>
          </w:p>
          <w:p w14:paraId="14F416FF" w14:textId="6C432373" w:rsidR="005A51C8" w:rsidRDefault="005A51C8" w:rsidP="009A3E7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0"/>
            </w:pPr>
            <w:r>
              <w:t xml:space="preserve">Send advice letter </w:t>
            </w:r>
            <w:r w:rsidR="00E576D3">
              <w:t xml:space="preserve">from Mosaic Forms </w:t>
            </w:r>
            <w:r>
              <w:t xml:space="preserve">to person/rep, </w:t>
            </w:r>
            <w:r w:rsidR="00E576D3">
              <w:t>which will provide them with</w:t>
            </w:r>
            <w:r>
              <w:t xml:space="preserve"> their Mosaic ID number</w:t>
            </w:r>
          </w:p>
        </w:tc>
        <w:tc>
          <w:tcPr>
            <w:tcW w:w="4354" w:type="dxa"/>
          </w:tcPr>
          <w:p w14:paraId="2A3A5B6C" w14:textId="6A2B95CB" w:rsidR="005A51C8" w:rsidRDefault="005A51C8" w:rsidP="009A3E7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0"/>
            </w:pPr>
            <w:r>
              <w:t xml:space="preserve">Obtain a copy of the FA Form from BS to hand deliver to customer/rep </w:t>
            </w:r>
          </w:p>
          <w:p w14:paraId="251E7C3E" w14:textId="77777777" w:rsidR="00614B4D" w:rsidRDefault="00614B4D" w:rsidP="00614B4D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</w:pPr>
          </w:p>
          <w:p w14:paraId="7322E93C" w14:textId="1D532BCD" w:rsidR="005A51C8" w:rsidRDefault="005A51C8" w:rsidP="009A3E7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0"/>
            </w:pPr>
            <w:r>
              <w:t>If hand delivery is not possible request BS post the form via the Mosaic Adult Correspondence work step</w:t>
            </w:r>
          </w:p>
        </w:tc>
      </w:tr>
    </w:tbl>
    <w:p w14:paraId="0870E412" w14:textId="77777777" w:rsidR="003D3E22" w:rsidRDefault="003D3E22" w:rsidP="00F61D4C"/>
    <w:p w14:paraId="07561BFE" w14:textId="2B5DEF63" w:rsidR="00A25D39" w:rsidRPr="00A25D39" w:rsidRDefault="00A25D39" w:rsidP="009A3E7A">
      <w:pPr>
        <w:pStyle w:val="ListParagraph"/>
        <w:numPr>
          <w:ilvl w:val="0"/>
          <w:numId w:val="4"/>
        </w:numPr>
      </w:pPr>
      <w:r w:rsidRPr="00A25D39">
        <w:t xml:space="preserve">Request a </w:t>
      </w:r>
      <w:r w:rsidR="00553201">
        <w:t>F</w:t>
      </w:r>
      <w:r w:rsidRPr="00A25D39">
        <w:t xml:space="preserve">inancial </w:t>
      </w:r>
      <w:r w:rsidR="00553201">
        <w:t>A</w:t>
      </w:r>
      <w:r w:rsidRPr="00A25D39">
        <w:t xml:space="preserve">ssessment </w:t>
      </w:r>
      <w:r w:rsidR="00705706">
        <w:t xml:space="preserve">via the Mosaic Financial Assessment </w:t>
      </w:r>
      <w:r w:rsidR="00553201">
        <w:t xml:space="preserve">Referral </w:t>
      </w:r>
      <w:r w:rsidR="00922432">
        <w:t>work step</w:t>
      </w:r>
      <w:r w:rsidR="00553201">
        <w:t xml:space="preserve"> </w:t>
      </w:r>
    </w:p>
    <w:p w14:paraId="0D7CA58F" w14:textId="4AF1EEB7" w:rsidR="00A25D39" w:rsidRDefault="00A25D39" w:rsidP="009A3E7A">
      <w:pPr>
        <w:pStyle w:val="ListParagraph"/>
        <w:numPr>
          <w:ilvl w:val="0"/>
          <w:numId w:val="4"/>
        </w:numPr>
      </w:pPr>
      <w:r w:rsidRPr="00A25D39">
        <w:t xml:space="preserve">Complete the section within Mosaics financial assessment request form to confirm the date and method the form was given, </w:t>
      </w:r>
      <w:proofErr w:type="gramStart"/>
      <w:r w:rsidR="00357A73" w:rsidRPr="00A25D39">
        <w:t>i.e.</w:t>
      </w:r>
      <w:proofErr w:type="gramEnd"/>
      <w:r w:rsidRPr="00A25D39">
        <w:t xml:space="preserve"> hand delivered, posted or link to online assessment.</w:t>
      </w:r>
    </w:p>
    <w:p w14:paraId="78C2D33A" w14:textId="315C862C" w:rsidR="00B3383C" w:rsidRDefault="00B3383C" w:rsidP="009A3E7A">
      <w:pPr>
        <w:pStyle w:val="ListParagraph"/>
        <w:numPr>
          <w:ilvl w:val="0"/>
          <w:numId w:val="4"/>
        </w:numPr>
      </w:pPr>
      <w:r>
        <w:t>Engage with the financial assessment process and refer regularly to the Mosaic finance workflow to establish status and progress, liaising between a customer</w:t>
      </w:r>
      <w:r w:rsidR="002D138D">
        <w:t xml:space="preserve"> and Serco finance</w:t>
      </w:r>
      <w:r>
        <w:t>.</w:t>
      </w:r>
    </w:p>
    <w:p w14:paraId="45941063" w14:textId="6E1F183C" w:rsidR="00043DF6" w:rsidRDefault="00043DF6" w:rsidP="00043DF6">
      <w:pPr>
        <w:pStyle w:val="ListParagraph"/>
        <w:numPr>
          <w:ilvl w:val="0"/>
          <w:numId w:val="4"/>
        </w:numPr>
      </w:pPr>
      <w:r w:rsidRPr="00043DF6">
        <w:t xml:space="preserve">Advise the person to contact DWP to notify of any changes and check they are in receipt of their full benefit entitlement </w:t>
      </w:r>
    </w:p>
    <w:p w14:paraId="01E820F7" w14:textId="2947971E" w:rsidR="00A25D39" w:rsidRPr="00741077" w:rsidRDefault="003974B1" w:rsidP="00741077">
      <w:pPr>
        <w:pStyle w:val="ListParagraph"/>
        <w:numPr>
          <w:ilvl w:val="0"/>
          <w:numId w:val="4"/>
        </w:numPr>
      </w:pPr>
      <w:r>
        <w:t>R</w:t>
      </w:r>
      <w:r w:rsidR="000D3F01">
        <w:t>ecord all actions and discussions in relation to finances on mosaic detailing what information has been provided and to who</w:t>
      </w:r>
      <w:r w:rsidR="00741077">
        <w:t>m</w:t>
      </w:r>
    </w:p>
    <w:p w14:paraId="38D51B2E" w14:textId="77777777" w:rsidR="00117C50" w:rsidRPr="00675ED6" w:rsidRDefault="00117C50" w:rsidP="00117C50">
      <w:pPr>
        <w:pStyle w:val="ListParagraph"/>
        <w:numPr>
          <w:ilvl w:val="0"/>
          <w:numId w:val="0"/>
        </w:numPr>
        <w:ind w:left="567"/>
      </w:pPr>
    </w:p>
    <w:p w14:paraId="1FDD82D5" w14:textId="4FA0EEFE" w:rsidR="00B20DD7" w:rsidRPr="00A154E8" w:rsidRDefault="00D14F83" w:rsidP="00D01C87">
      <w:pPr>
        <w:pStyle w:val="Heading3"/>
      </w:pPr>
      <w:r w:rsidRPr="00A154E8">
        <w:t xml:space="preserve">Before closing </w:t>
      </w:r>
      <w:r w:rsidR="008F574F">
        <w:t>my involvement</w:t>
      </w:r>
      <w:r w:rsidR="00682DD3" w:rsidRPr="00A154E8">
        <w:t>:</w:t>
      </w:r>
    </w:p>
    <w:p w14:paraId="39E1E78B" w14:textId="0D8CCA68" w:rsidR="00D14F83" w:rsidRDefault="00024046" w:rsidP="00965ADA">
      <w:pPr>
        <w:pStyle w:val="CheckList"/>
      </w:pPr>
      <w:r>
        <w:t>Check w</w:t>
      </w:r>
      <w:r w:rsidR="00D14F83" w:rsidRPr="00965ADA">
        <w:t xml:space="preserve">ith Serco finance that </w:t>
      </w:r>
      <w:r w:rsidR="00837004">
        <w:t>FA</w:t>
      </w:r>
      <w:r w:rsidR="00C85E2C">
        <w:t xml:space="preserve"> has been completed and customer/rep has been made aware </w:t>
      </w:r>
      <w:r w:rsidR="00830573">
        <w:t>of their care contribution</w:t>
      </w:r>
      <w:r w:rsidR="00D14F83" w:rsidRPr="00965ADA">
        <w:t xml:space="preserve"> </w:t>
      </w:r>
    </w:p>
    <w:p w14:paraId="4714FEC0" w14:textId="06EA4471" w:rsidR="00C924D8" w:rsidRDefault="00C924D8" w:rsidP="00965ADA">
      <w:pPr>
        <w:pStyle w:val="CheckList"/>
      </w:pPr>
      <w:r>
        <w:t xml:space="preserve">Check </w:t>
      </w:r>
      <w:r w:rsidR="00847539">
        <w:t xml:space="preserve">if </w:t>
      </w:r>
      <w:r w:rsidR="004C3062">
        <w:t xml:space="preserve">referrals have been made or </w:t>
      </w:r>
      <w:r w:rsidR="009161FF">
        <w:t xml:space="preserve">are </w:t>
      </w:r>
      <w:r w:rsidR="004C3062">
        <w:t>being considered by either FRG or Waiver</w:t>
      </w:r>
      <w:r w:rsidR="009161FF">
        <w:t xml:space="preserve"> Panel</w:t>
      </w:r>
    </w:p>
    <w:p w14:paraId="64505C85" w14:textId="225BE095" w:rsidR="00F07E32" w:rsidRPr="00965ADA" w:rsidRDefault="00F07E32" w:rsidP="00965ADA">
      <w:pPr>
        <w:pStyle w:val="CheckList"/>
      </w:pPr>
      <w:r>
        <w:t>If Person is in residential care</w:t>
      </w:r>
    </w:p>
    <w:p w14:paraId="45F28AAA" w14:textId="28304BAC" w:rsidR="00F84205" w:rsidRPr="00965ADA" w:rsidRDefault="00024046" w:rsidP="009A3E7A">
      <w:pPr>
        <w:pStyle w:val="CheckList"/>
        <w:numPr>
          <w:ilvl w:val="1"/>
          <w:numId w:val="2"/>
        </w:numPr>
        <w:ind w:left="1380"/>
      </w:pPr>
      <w:r>
        <w:t>Check w</w:t>
      </w:r>
      <w:r w:rsidR="00F84205" w:rsidRPr="00965ADA">
        <w:t>ith the provider that the Personal Expenses Allowance (PEA) is being received</w:t>
      </w:r>
    </w:p>
    <w:p w14:paraId="04BE882F" w14:textId="422D5569" w:rsidR="00F84205" w:rsidRPr="00965ADA" w:rsidRDefault="00024046" w:rsidP="009A3E7A">
      <w:pPr>
        <w:pStyle w:val="CheckList"/>
        <w:numPr>
          <w:ilvl w:val="1"/>
          <w:numId w:val="2"/>
        </w:numPr>
        <w:ind w:left="1380"/>
      </w:pPr>
      <w:r>
        <w:t>Check t</w:t>
      </w:r>
      <w:r w:rsidR="00F84205" w:rsidRPr="00965ADA">
        <w:t>hat First/Third Party Top Up arrangements are being adhered to</w:t>
      </w:r>
    </w:p>
    <w:p w14:paraId="1C7B202F" w14:textId="3A8D32ED" w:rsidR="00F84205" w:rsidRPr="00965ADA" w:rsidRDefault="00024046" w:rsidP="009A3E7A">
      <w:pPr>
        <w:pStyle w:val="CheckList"/>
        <w:numPr>
          <w:ilvl w:val="1"/>
          <w:numId w:val="2"/>
        </w:numPr>
        <w:ind w:left="1380"/>
      </w:pPr>
      <w:r>
        <w:t>Check t</w:t>
      </w:r>
      <w:r w:rsidR="00F84205" w:rsidRPr="00965ADA">
        <w:t>hat the assessed client contribution is being paid (until we move to gross)</w:t>
      </w:r>
    </w:p>
    <w:p w14:paraId="3A8E6BE3" w14:textId="5328ACE3" w:rsidR="00F84205" w:rsidRDefault="00024046" w:rsidP="00965ADA">
      <w:pPr>
        <w:pStyle w:val="CheckList"/>
      </w:pPr>
      <w:r>
        <w:t>Check t</w:t>
      </w:r>
      <w:r w:rsidR="00F84205" w:rsidRPr="00965ADA">
        <w:t>hat the</w:t>
      </w:r>
      <w:r w:rsidR="00F84205">
        <w:t xml:space="preserve"> </w:t>
      </w:r>
      <w:r w:rsidR="00C1558E">
        <w:t>provider</w:t>
      </w:r>
      <w:r w:rsidR="00F84205">
        <w:t xml:space="preserve"> is still meeting the persons identified care outcomes</w:t>
      </w:r>
    </w:p>
    <w:p w14:paraId="5A7D5369" w14:textId="7EA3BB99" w:rsidR="00B250EA" w:rsidRDefault="00B250EA" w:rsidP="00965ADA">
      <w:pPr>
        <w:pStyle w:val="CheckList"/>
      </w:pPr>
      <w:r>
        <w:t xml:space="preserve">Check that </w:t>
      </w:r>
      <w:r w:rsidR="00996532">
        <w:t>the customer contribution is being made and that there are no financial hardship concerns</w:t>
      </w:r>
    </w:p>
    <w:p w14:paraId="0C325E4C" w14:textId="77777777" w:rsidR="00B8768C" w:rsidRDefault="00B8768C" w:rsidP="00B8768C">
      <w:pPr>
        <w:pStyle w:val="CheckList"/>
      </w:pPr>
      <w:r>
        <w:t>Discuss with your LP your intended case closure to agree</w:t>
      </w:r>
    </w:p>
    <w:p w14:paraId="03583765" w14:textId="24369075" w:rsidR="00B8768C" w:rsidRDefault="00B8768C" w:rsidP="009A3E7A">
      <w:pPr>
        <w:pStyle w:val="CheckList"/>
        <w:numPr>
          <w:ilvl w:val="1"/>
          <w:numId w:val="2"/>
        </w:numPr>
        <w:ind w:left="1324"/>
      </w:pPr>
      <w:r>
        <w:t>Suitable monitoring arrangements for outstanding financial issues (COP, DPA</w:t>
      </w:r>
      <w:r w:rsidR="00BA1671">
        <w:t>, FRG Waiver</w:t>
      </w:r>
      <w:r>
        <w:t xml:space="preserve"> etc)</w:t>
      </w:r>
    </w:p>
    <w:p w14:paraId="6A51D07E" w14:textId="77C95E6D" w:rsidR="00B8768C" w:rsidRDefault="00B8768C" w:rsidP="009A3E7A">
      <w:pPr>
        <w:pStyle w:val="CheckList"/>
        <w:numPr>
          <w:ilvl w:val="1"/>
          <w:numId w:val="2"/>
        </w:numPr>
        <w:ind w:left="1324"/>
      </w:pPr>
      <w:r>
        <w:t xml:space="preserve">A review period in accordance with </w:t>
      </w:r>
      <w:r w:rsidR="00F07E32">
        <w:t xml:space="preserve">waiver, </w:t>
      </w:r>
      <w:r>
        <w:t>top up or amended PB agreements</w:t>
      </w:r>
    </w:p>
    <w:p w14:paraId="5FB85175" w14:textId="77777777" w:rsidR="00B8768C" w:rsidRDefault="00B8768C" w:rsidP="00B8768C">
      <w:pPr>
        <w:pStyle w:val="CheckList"/>
      </w:pPr>
      <w:r>
        <w:t>Record a case closure summary, detailing these monitoring or review arrangements</w:t>
      </w:r>
    </w:p>
    <w:p w14:paraId="23786852" w14:textId="77777777" w:rsidR="00B8768C" w:rsidRDefault="00B8768C" w:rsidP="00A154E8">
      <w:pPr>
        <w:pStyle w:val="CheckList"/>
        <w:numPr>
          <w:ilvl w:val="0"/>
          <w:numId w:val="0"/>
        </w:numPr>
        <w:ind w:left="851"/>
      </w:pPr>
    </w:p>
    <w:p w14:paraId="4096624A" w14:textId="0A9CEAC7" w:rsidR="00F84205" w:rsidRPr="00062220" w:rsidRDefault="00F84205" w:rsidP="00062220">
      <w:pPr>
        <w:rPr>
          <w:i/>
          <w:color w:val="0000FF"/>
          <w:u w:val="single"/>
        </w:rPr>
      </w:pPr>
    </w:p>
    <w:sectPr w:rsidR="00F84205" w:rsidRPr="00062220" w:rsidSect="00B35C3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1FC5" w14:textId="77777777" w:rsidR="00704F82" w:rsidRDefault="00704F82" w:rsidP="002D228D">
      <w:pPr>
        <w:spacing w:after="0" w:line="240" w:lineRule="auto"/>
      </w:pPr>
      <w:r>
        <w:separator/>
      </w:r>
    </w:p>
  </w:endnote>
  <w:endnote w:type="continuationSeparator" w:id="0">
    <w:p w14:paraId="29F2479B" w14:textId="77777777" w:rsidR="00704F82" w:rsidRDefault="00704F82" w:rsidP="002D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A371" w14:textId="77777777" w:rsidR="002D228D" w:rsidRDefault="002D2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19CF" w14:textId="77777777" w:rsidR="002D228D" w:rsidRDefault="002D2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CAF8" w14:textId="77777777" w:rsidR="002D228D" w:rsidRDefault="002D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0F11" w14:textId="77777777" w:rsidR="00704F82" w:rsidRDefault="00704F82" w:rsidP="002D228D">
      <w:pPr>
        <w:spacing w:after="0" w:line="240" w:lineRule="auto"/>
      </w:pPr>
      <w:r>
        <w:separator/>
      </w:r>
    </w:p>
  </w:footnote>
  <w:footnote w:type="continuationSeparator" w:id="0">
    <w:p w14:paraId="1FC02D94" w14:textId="77777777" w:rsidR="00704F82" w:rsidRDefault="00704F82" w:rsidP="002D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1FEE" w14:textId="77777777" w:rsidR="002D228D" w:rsidRDefault="002D228D" w:rsidP="006F7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A554" w14:textId="0C0DAFB9" w:rsidR="00076E93" w:rsidRPr="006F7A6A" w:rsidRDefault="00CF0BA8" w:rsidP="006F7A6A">
    <w:pPr>
      <w:pStyle w:val="Header"/>
    </w:pPr>
    <w:r w:rsidRPr="006F7A6A">
      <w:t>CUSTOMER FINANCES</w:t>
    </w:r>
    <w:r w:rsidR="0036755E">
      <w:t xml:space="preserve"> </w:t>
    </w:r>
    <w:r w:rsidR="00062220">
      <w:t>–</w:t>
    </w:r>
    <w:r w:rsidR="0036755E">
      <w:t xml:space="preserve"> </w:t>
    </w:r>
    <w:r w:rsidR="00062220">
      <w:t>Guidance for Practitioners</w:t>
    </w:r>
    <w:r w:rsidR="00CC2E48" w:rsidRPr="006F7A6A">
      <w:tab/>
      <w:t xml:space="preserve">Page </w:t>
    </w:r>
    <w:r w:rsidR="00CC2E48" w:rsidRPr="006F7A6A">
      <w:fldChar w:fldCharType="begin"/>
    </w:r>
    <w:r w:rsidR="00CC2E48" w:rsidRPr="006F7A6A">
      <w:instrText xml:space="preserve"> PAGE  \* Arabic  \* MERGEFORMAT </w:instrText>
    </w:r>
    <w:r w:rsidR="00CC2E48" w:rsidRPr="006F7A6A">
      <w:fldChar w:fldCharType="separate"/>
    </w:r>
    <w:r w:rsidR="00CC2E48" w:rsidRPr="006F7A6A">
      <w:t>2</w:t>
    </w:r>
    <w:r w:rsidR="00CC2E48" w:rsidRPr="006F7A6A">
      <w:fldChar w:fldCharType="end"/>
    </w:r>
    <w:r w:rsidR="00CC2E48" w:rsidRPr="006F7A6A">
      <w:t xml:space="preserve"> of </w:t>
    </w:r>
    <w:fldSimple w:instr=" NUMPAGES  \* Arabic  \* MERGEFORMAT ">
      <w:r w:rsidR="00CC2E48" w:rsidRPr="006F7A6A">
        <w:t>3</w:t>
      </w:r>
    </w:fldSimple>
  </w:p>
  <w:p w14:paraId="50D9B40F" w14:textId="1E5A05BD" w:rsidR="00CC2E48" w:rsidRPr="00E4368D" w:rsidRDefault="008F5B4E" w:rsidP="006F7A6A">
    <w:pPr>
      <w:pStyle w:val="Header"/>
    </w:pPr>
    <w:r>
      <w:pict w14:anchorId="68BCBDC0">
        <v:rect id="_x0000_i1025" style="width:697.9pt;height:2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23FA" w14:textId="77777777" w:rsidR="002D228D" w:rsidRDefault="002D228D" w:rsidP="006F7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1167"/>
    <w:multiLevelType w:val="hybridMultilevel"/>
    <w:tmpl w:val="573C1B7C"/>
    <w:lvl w:ilvl="0" w:tplc="BCB620B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68A042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F0F4AAE"/>
    <w:multiLevelType w:val="hybridMultilevel"/>
    <w:tmpl w:val="73DA1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157C"/>
    <w:multiLevelType w:val="hybridMultilevel"/>
    <w:tmpl w:val="F6DE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D3E02"/>
    <w:multiLevelType w:val="hybridMultilevel"/>
    <w:tmpl w:val="DECA651C"/>
    <w:lvl w:ilvl="0" w:tplc="5B1CD0C4">
      <w:start w:val="1"/>
      <w:numFmt w:val="bullet"/>
      <w:pStyle w:val="CheckList"/>
      <w:lvlText w:val="□"/>
      <w:lvlJc w:val="left"/>
      <w:pPr>
        <w:ind w:left="1146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68A042"/>
        <w:sz w:val="32"/>
        <w:vertAlign w:val="baseline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247BEE"/>
    <w:multiLevelType w:val="hybridMultilevel"/>
    <w:tmpl w:val="5AF046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66E1"/>
    <w:multiLevelType w:val="hybridMultilevel"/>
    <w:tmpl w:val="B5BE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82D88"/>
    <w:multiLevelType w:val="hybridMultilevel"/>
    <w:tmpl w:val="C7383F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52461">
    <w:abstractNumId w:val="0"/>
  </w:num>
  <w:num w:numId="2" w16cid:durableId="1068461690">
    <w:abstractNumId w:val="3"/>
  </w:num>
  <w:num w:numId="3" w16cid:durableId="1379090050">
    <w:abstractNumId w:val="2"/>
  </w:num>
  <w:num w:numId="4" w16cid:durableId="387264336">
    <w:abstractNumId w:val="5"/>
  </w:num>
  <w:num w:numId="5" w16cid:durableId="1405178101">
    <w:abstractNumId w:val="1"/>
  </w:num>
  <w:num w:numId="6" w16cid:durableId="693073685">
    <w:abstractNumId w:val="4"/>
  </w:num>
  <w:num w:numId="7" w16cid:durableId="62122828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FB"/>
    <w:rsid w:val="000017FB"/>
    <w:rsid w:val="00002F55"/>
    <w:rsid w:val="00007B13"/>
    <w:rsid w:val="0001139D"/>
    <w:rsid w:val="00016AC1"/>
    <w:rsid w:val="00016FDC"/>
    <w:rsid w:val="00017109"/>
    <w:rsid w:val="0002016C"/>
    <w:rsid w:val="00024046"/>
    <w:rsid w:val="00031A4A"/>
    <w:rsid w:val="00031CA8"/>
    <w:rsid w:val="00037CD1"/>
    <w:rsid w:val="00040A73"/>
    <w:rsid w:val="00040C3C"/>
    <w:rsid w:val="00043DF6"/>
    <w:rsid w:val="00056D23"/>
    <w:rsid w:val="00056F45"/>
    <w:rsid w:val="00057A3C"/>
    <w:rsid w:val="00060B7B"/>
    <w:rsid w:val="00060CA8"/>
    <w:rsid w:val="00061E96"/>
    <w:rsid w:val="00062220"/>
    <w:rsid w:val="00063264"/>
    <w:rsid w:val="000639C7"/>
    <w:rsid w:val="00066E56"/>
    <w:rsid w:val="00067D12"/>
    <w:rsid w:val="00071D9D"/>
    <w:rsid w:val="000748E2"/>
    <w:rsid w:val="00075786"/>
    <w:rsid w:val="00076E93"/>
    <w:rsid w:val="0007721C"/>
    <w:rsid w:val="00083CD1"/>
    <w:rsid w:val="00083E9B"/>
    <w:rsid w:val="000862FC"/>
    <w:rsid w:val="00091414"/>
    <w:rsid w:val="00094594"/>
    <w:rsid w:val="0009471E"/>
    <w:rsid w:val="0009502F"/>
    <w:rsid w:val="00096E1C"/>
    <w:rsid w:val="000A1F34"/>
    <w:rsid w:val="000A2554"/>
    <w:rsid w:val="000A2AA2"/>
    <w:rsid w:val="000A31A0"/>
    <w:rsid w:val="000A49FA"/>
    <w:rsid w:val="000A5D4D"/>
    <w:rsid w:val="000A5FB7"/>
    <w:rsid w:val="000B5496"/>
    <w:rsid w:val="000D3789"/>
    <w:rsid w:val="000D3D69"/>
    <w:rsid w:val="000D3F01"/>
    <w:rsid w:val="000E020E"/>
    <w:rsid w:val="000E0839"/>
    <w:rsid w:val="000E0B1C"/>
    <w:rsid w:val="000E2BE6"/>
    <w:rsid w:val="000E3122"/>
    <w:rsid w:val="000E60CF"/>
    <w:rsid w:val="000F0783"/>
    <w:rsid w:val="000F36F7"/>
    <w:rsid w:val="000F3EFB"/>
    <w:rsid w:val="000F529D"/>
    <w:rsid w:val="000F57C3"/>
    <w:rsid w:val="000F69C3"/>
    <w:rsid w:val="000F70A0"/>
    <w:rsid w:val="001052FF"/>
    <w:rsid w:val="00107BD6"/>
    <w:rsid w:val="00110C15"/>
    <w:rsid w:val="00110E78"/>
    <w:rsid w:val="00111356"/>
    <w:rsid w:val="00111CC7"/>
    <w:rsid w:val="00117C50"/>
    <w:rsid w:val="00122B89"/>
    <w:rsid w:val="00126648"/>
    <w:rsid w:val="00132001"/>
    <w:rsid w:val="001332A6"/>
    <w:rsid w:val="0013477F"/>
    <w:rsid w:val="00136936"/>
    <w:rsid w:val="0013710E"/>
    <w:rsid w:val="001502D0"/>
    <w:rsid w:val="0015529A"/>
    <w:rsid w:val="00155B95"/>
    <w:rsid w:val="00156908"/>
    <w:rsid w:val="001604C0"/>
    <w:rsid w:val="00163AB2"/>
    <w:rsid w:val="00174A40"/>
    <w:rsid w:val="00176BEC"/>
    <w:rsid w:val="00180B3C"/>
    <w:rsid w:val="0018190F"/>
    <w:rsid w:val="0018331D"/>
    <w:rsid w:val="0018369C"/>
    <w:rsid w:val="001841FB"/>
    <w:rsid w:val="00187ABF"/>
    <w:rsid w:val="0019062D"/>
    <w:rsid w:val="00197433"/>
    <w:rsid w:val="001A18B3"/>
    <w:rsid w:val="001A2B54"/>
    <w:rsid w:val="001A323E"/>
    <w:rsid w:val="001A6170"/>
    <w:rsid w:val="001B7AEE"/>
    <w:rsid w:val="001C06EC"/>
    <w:rsid w:val="001C4C90"/>
    <w:rsid w:val="001C763C"/>
    <w:rsid w:val="001C7AEC"/>
    <w:rsid w:val="001C7CB8"/>
    <w:rsid w:val="001D2620"/>
    <w:rsid w:val="001D2906"/>
    <w:rsid w:val="001D3F68"/>
    <w:rsid w:val="001D4DED"/>
    <w:rsid w:val="001D63EA"/>
    <w:rsid w:val="001D6661"/>
    <w:rsid w:val="001E0DF9"/>
    <w:rsid w:val="001E1B9E"/>
    <w:rsid w:val="001E53B0"/>
    <w:rsid w:val="001E59D7"/>
    <w:rsid w:val="001E6895"/>
    <w:rsid w:val="001E7CE8"/>
    <w:rsid w:val="001F0A85"/>
    <w:rsid w:val="001F60BE"/>
    <w:rsid w:val="001F720B"/>
    <w:rsid w:val="00202F08"/>
    <w:rsid w:val="0020349E"/>
    <w:rsid w:val="002124AF"/>
    <w:rsid w:val="0021337A"/>
    <w:rsid w:val="00215718"/>
    <w:rsid w:val="00216F74"/>
    <w:rsid w:val="00220389"/>
    <w:rsid w:val="00220631"/>
    <w:rsid w:val="00226BA3"/>
    <w:rsid w:val="002272F9"/>
    <w:rsid w:val="00233358"/>
    <w:rsid w:val="00236DE8"/>
    <w:rsid w:val="00236F9C"/>
    <w:rsid w:val="00241143"/>
    <w:rsid w:val="002421AB"/>
    <w:rsid w:val="00243E1B"/>
    <w:rsid w:val="002459E4"/>
    <w:rsid w:val="002467AE"/>
    <w:rsid w:val="00247633"/>
    <w:rsid w:val="002523E4"/>
    <w:rsid w:val="0025386C"/>
    <w:rsid w:val="00256651"/>
    <w:rsid w:val="00262555"/>
    <w:rsid w:val="0026327F"/>
    <w:rsid w:val="002652F1"/>
    <w:rsid w:val="00271488"/>
    <w:rsid w:val="00272F9D"/>
    <w:rsid w:val="00281883"/>
    <w:rsid w:val="00292ACF"/>
    <w:rsid w:val="002A183E"/>
    <w:rsid w:val="002A21B5"/>
    <w:rsid w:val="002A2307"/>
    <w:rsid w:val="002A501E"/>
    <w:rsid w:val="002A72C9"/>
    <w:rsid w:val="002B1033"/>
    <w:rsid w:val="002B63A4"/>
    <w:rsid w:val="002B73E3"/>
    <w:rsid w:val="002C3217"/>
    <w:rsid w:val="002C33B6"/>
    <w:rsid w:val="002C572A"/>
    <w:rsid w:val="002C597F"/>
    <w:rsid w:val="002D01A2"/>
    <w:rsid w:val="002D138D"/>
    <w:rsid w:val="002D1B04"/>
    <w:rsid w:val="002D228D"/>
    <w:rsid w:val="002D39AE"/>
    <w:rsid w:val="002D7CA0"/>
    <w:rsid w:val="002E63F2"/>
    <w:rsid w:val="002F0B18"/>
    <w:rsid w:val="002F119D"/>
    <w:rsid w:val="002F70F7"/>
    <w:rsid w:val="003010A2"/>
    <w:rsid w:val="00303E17"/>
    <w:rsid w:val="003054AD"/>
    <w:rsid w:val="003062A9"/>
    <w:rsid w:val="00307ECA"/>
    <w:rsid w:val="003221BA"/>
    <w:rsid w:val="0032543C"/>
    <w:rsid w:val="0033170B"/>
    <w:rsid w:val="00335CE1"/>
    <w:rsid w:val="00336642"/>
    <w:rsid w:val="003417EF"/>
    <w:rsid w:val="00344E77"/>
    <w:rsid w:val="00344F8A"/>
    <w:rsid w:val="00345849"/>
    <w:rsid w:val="00350F36"/>
    <w:rsid w:val="003525C3"/>
    <w:rsid w:val="00354C34"/>
    <w:rsid w:val="00357A73"/>
    <w:rsid w:val="0036300B"/>
    <w:rsid w:val="003635BF"/>
    <w:rsid w:val="00363D64"/>
    <w:rsid w:val="0036448A"/>
    <w:rsid w:val="00365008"/>
    <w:rsid w:val="0036755E"/>
    <w:rsid w:val="00370AB9"/>
    <w:rsid w:val="00373001"/>
    <w:rsid w:val="00373013"/>
    <w:rsid w:val="00375731"/>
    <w:rsid w:val="003764CF"/>
    <w:rsid w:val="00395EFD"/>
    <w:rsid w:val="003974B1"/>
    <w:rsid w:val="003A1520"/>
    <w:rsid w:val="003A3742"/>
    <w:rsid w:val="003B4B9E"/>
    <w:rsid w:val="003B4BE7"/>
    <w:rsid w:val="003C36AF"/>
    <w:rsid w:val="003D15D4"/>
    <w:rsid w:val="003D2290"/>
    <w:rsid w:val="003D3E22"/>
    <w:rsid w:val="003D4513"/>
    <w:rsid w:val="003D497E"/>
    <w:rsid w:val="003D4CD3"/>
    <w:rsid w:val="003D6FF0"/>
    <w:rsid w:val="003E3742"/>
    <w:rsid w:val="003E6260"/>
    <w:rsid w:val="003F4704"/>
    <w:rsid w:val="003F6674"/>
    <w:rsid w:val="003F6BD7"/>
    <w:rsid w:val="003F745B"/>
    <w:rsid w:val="00405529"/>
    <w:rsid w:val="00406142"/>
    <w:rsid w:val="00407397"/>
    <w:rsid w:val="00410175"/>
    <w:rsid w:val="00412A43"/>
    <w:rsid w:val="00421E03"/>
    <w:rsid w:val="00425C77"/>
    <w:rsid w:val="00427034"/>
    <w:rsid w:val="00435398"/>
    <w:rsid w:val="00443E6E"/>
    <w:rsid w:val="00446FE7"/>
    <w:rsid w:val="00451368"/>
    <w:rsid w:val="0046000B"/>
    <w:rsid w:val="004640FC"/>
    <w:rsid w:val="00466A1D"/>
    <w:rsid w:val="00472712"/>
    <w:rsid w:val="004744DC"/>
    <w:rsid w:val="0047720F"/>
    <w:rsid w:val="00480C50"/>
    <w:rsid w:val="004841D0"/>
    <w:rsid w:val="00484415"/>
    <w:rsid w:val="00484B80"/>
    <w:rsid w:val="00490836"/>
    <w:rsid w:val="00492B19"/>
    <w:rsid w:val="00492F36"/>
    <w:rsid w:val="00495951"/>
    <w:rsid w:val="00495C5B"/>
    <w:rsid w:val="004963FD"/>
    <w:rsid w:val="004A1DDE"/>
    <w:rsid w:val="004A62FF"/>
    <w:rsid w:val="004A65EE"/>
    <w:rsid w:val="004A68FE"/>
    <w:rsid w:val="004B0420"/>
    <w:rsid w:val="004B5A67"/>
    <w:rsid w:val="004C2C89"/>
    <w:rsid w:val="004C3062"/>
    <w:rsid w:val="004D1128"/>
    <w:rsid w:val="004D2D14"/>
    <w:rsid w:val="004D7989"/>
    <w:rsid w:val="004E036F"/>
    <w:rsid w:val="004E3D57"/>
    <w:rsid w:val="004E717D"/>
    <w:rsid w:val="004F0F7F"/>
    <w:rsid w:val="004F7027"/>
    <w:rsid w:val="00502CB6"/>
    <w:rsid w:val="005033E5"/>
    <w:rsid w:val="00504F46"/>
    <w:rsid w:val="005064C2"/>
    <w:rsid w:val="00510B92"/>
    <w:rsid w:val="005111BF"/>
    <w:rsid w:val="00511755"/>
    <w:rsid w:val="005118B0"/>
    <w:rsid w:val="005133F7"/>
    <w:rsid w:val="00520EF9"/>
    <w:rsid w:val="00521BA1"/>
    <w:rsid w:val="00523BE2"/>
    <w:rsid w:val="00524774"/>
    <w:rsid w:val="00530A23"/>
    <w:rsid w:val="005310CB"/>
    <w:rsid w:val="00534A4B"/>
    <w:rsid w:val="00534E87"/>
    <w:rsid w:val="00540290"/>
    <w:rsid w:val="0054226D"/>
    <w:rsid w:val="005436DA"/>
    <w:rsid w:val="005447FD"/>
    <w:rsid w:val="005458DC"/>
    <w:rsid w:val="00545F07"/>
    <w:rsid w:val="00546BF6"/>
    <w:rsid w:val="00551A9C"/>
    <w:rsid w:val="00553201"/>
    <w:rsid w:val="0055754B"/>
    <w:rsid w:val="005646BA"/>
    <w:rsid w:val="0056603A"/>
    <w:rsid w:val="00574E54"/>
    <w:rsid w:val="005767AB"/>
    <w:rsid w:val="00577E60"/>
    <w:rsid w:val="005800C0"/>
    <w:rsid w:val="00581041"/>
    <w:rsid w:val="0058343B"/>
    <w:rsid w:val="00584627"/>
    <w:rsid w:val="00586FCC"/>
    <w:rsid w:val="005975D7"/>
    <w:rsid w:val="005A22A5"/>
    <w:rsid w:val="005A51C8"/>
    <w:rsid w:val="005B4E42"/>
    <w:rsid w:val="005B5A50"/>
    <w:rsid w:val="005C0385"/>
    <w:rsid w:val="005C0BAA"/>
    <w:rsid w:val="005C1A2C"/>
    <w:rsid w:val="005D3840"/>
    <w:rsid w:val="005D3F1E"/>
    <w:rsid w:val="005D4D7E"/>
    <w:rsid w:val="005D4E4A"/>
    <w:rsid w:val="005E6060"/>
    <w:rsid w:val="005E7F58"/>
    <w:rsid w:val="005F1C89"/>
    <w:rsid w:val="00600585"/>
    <w:rsid w:val="00601859"/>
    <w:rsid w:val="00604A02"/>
    <w:rsid w:val="00606193"/>
    <w:rsid w:val="00606D27"/>
    <w:rsid w:val="00606E91"/>
    <w:rsid w:val="006071C3"/>
    <w:rsid w:val="00612737"/>
    <w:rsid w:val="00614B4D"/>
    <w:rsid w:val="006150C2"/>
    <w:rsid w:val="006205E0"/>
    <w:rsid w:val="00620B6B"/>
    <w:rsid w:val="00621186"/>
    <w:rsid w:val="0062302F"/>
    <w:rsid w:val="00623E5C"/>
    <w:rsid w:val="0062442D"/>
    <w:rsid w:val="0062590B"/>
    <w:rsid w:val="00630DC0"/>
    <w:rsid w:val="00632F3E"/>
    <w:rsid w:val="00633FE2"/>
    <w:rsid w:val="0063552A"/>
    <w:rsid w:val="00640C07"/>
    <w:rsid w:val="0064116B"/>
    <w:rsid w:val="0064513E"/>
    <w:rsid w:val="006474C0"/>
    <w:rsid w:val="006504BC"/>
    <w:rsid w:val="006549A1"/>
    <w:rsid w:val="00656A5A"/>
    <w:rsid w:val="0065737A"/>
    <w:rsid w:val="006609B2"/>
    <w:rsid w:val="0066274F"/>
    <w:rsid w:val="00662BF8"/>
    <w:rsid w:val="00662D55"/>
    <w:rsid w:val="00667598"/>
    <w:rsid w:val="00675ED6"/>
    <w:rsid w:val="00676A34"/>
    <w:rsid w:val="00682DD3"/>
    <w:rsid w:val="00683217"/>
    <w:rsid w:val="006861FD"/>
    <w:rsid w:val="00690BEF"/>
    <w:rsid w:val="00694195"/>
    <w:rsid w:val="0069780C"/>
    <w:rsid w:val="006A5298"/>
    <w:rsid w:val="006A6EE9"/>
    <w:rsid w:val="006A6F8F"/>
    <w:rsid w:val="006A7B52"/>
    <w:rsid w:val="006B5D8D"/>
    <w:rsid w:val="006B707E"/>
    <w:rsid w:val="006C434A"/>
    <w:rsid w:val="006C4ECB"/>
    <w:rsid w:val="006D1121"/>
    <w:rsid w:val="006D2C67"/>
    <w:rsid w:val="006E08DB"/>
    <w:rsid w:val="006E0F24"/>
    <w:rsid w:val="006E39C6"/>
    <w:rsid w:val="006E6560"/>
    <w:rsid w:val="006F7A6A"/>
    <w:rsid w:val="006F7E52"/>
    <w:rsid w:val="00704F82"/>
    <w:rsid w:val="00705706"/>
    <w:rsid w:val="00706737"/>
    <w:rsid w:val="00707C13"/>
    <w:rsid w:val="00710AD6"/>
    <w:rsid w:val="00711714"/>
    <w:rsid w:val="00712E64"/>
    <w:rsid w:val="00714C73"/>
    <w:rsid w:val="007156FA"/>
    <w:rsid w:val="00717185"/>
    <w:rsid w:val="0072150E"/>
    <w:rsid w:val="0072695C"/>
    <w:rsid w:val="007300D1"/>
    <w:rsid w:val="007313D6"/>
    <w:rsid w:val="0073477D"/>
    <w:rsid w:val="00736E2E"/>
    <w:rsid w:val="00741077"/>
    <w:rsid w:val="00742137"/>
    <w:rsid w:val="00745716"/>
    <w:rsid w:val="007464A8"/>
    <w:rsid w:val="00747C48"/>
    <w:rsid w:val="007511D7"/>
    <w:rsid w:val="00753E5B"/>
    <w:rsid w:val="007546B6"/>
    <w:rsid w:val="00760F78"/>
    <w:rsid w:val="00761C49"/>
    <w:rsid w:val="007636FC"/>
    <w:rsid w:val="00765263"/>
    <w:rsid w:val="0076604C"/>
    <w:rsid w:val="00766F84"/>
    <w:rsid w:val="00767F7D"/>
    <w:rsid w:val="00770340"/>
    <w:rsid w:val="007725E9"/>
    <w:rsid w:val="00773DE4"/>
    <w:rsid w:val="00774F53"/>
    <w:rsid w:val="00775B1B"/>
    <w:rsid w:val="00775C8A"/>
    <w:rsid w:val="00781178"/>
    <w:rsid w:val="007818F5"/>
    <w:rsid w:val="00783B2B"/>
    <w:rsid w:val="00787CFD"/>
    <w:rsid w:val="00790800"/>
    <w:rsid w:val="00795956"/>
    <w:rsid w:val="007A0239"/>
    <w:rsid w:val="007A2A5F"/>
    <w:rsid w:val="007B1CA3"/>
    <w:rsid w:val="007B3C3F"/>
    <w:rsid w:val="007B59CD"/>
    <w:rsid w:val="007C0195"/>
    <w:rsid w:val="007C0E41"/>
    <w:rsid w:val="007C6E14"/>
    <w:rsid w:val="007D079D"/>
    <w:rsid w:val="007D1CDC"/>
    <w:rsid w:val="007D2306"/>
    <w:rsid w:val="007D39EA"/>
    <w:rsid w:val="007E0EED"/>
    <w:rsid w:val="007E54E8"/>
    <w:rsid w:val="007E5570"/>
    <w:rsid w:val="007E5579"/>
    <w:rsid w:val="007E773C"/>
    <w:rsid w:val="007E7888"/>
    <w:rsid w:val="007E7A52"/>
    <w:rsid w:val="007F1A46"/>
    <w:rsid w:val="007F5085"/>
    <w:rsid w:val="007F68E0"/>
    <w:rsid w:val="00800CEE"/>
    <w:rsid w:val="00801437"/>
    <w:rsid w:val="008045CF"/>
    <w:rsid w:val="00804B52"/>
    <w:rsid w:val="00812A4F"/>
    <w:rsid w:val="0081393D"/>
    <w:rsid w:val="00814808"/>
    <w:rsid w:val="00822B24"/>
    <w:rsid w:val="00823019"/>
    <w:rsid w:val="00826A05"/>
    <w:rsid w:val="0082720C"/>
    <w:rsid w:val="00830573"/>
    <w:rsid w:val="008308BE"/>
    <w:rsid w:val="008310B6"/>
    <w:rsid w:val="0083180E"/>
    <w:rsid w:val="00832D95"/>
    <w:rsid w:val="0083411F"/>
    <w:rsid w:val="00837004"/>
    <w:rsid w:val="00840571"/>
    <w:rsid w:val="008456EB"/>
    <w:rsid w:val="00845DAF"/>
    <w:rsid w:val="00847539"/>
    <w:rsid w:val="00847B68"/>
    <w:rsid w:val="008538D0"/>
    <w:rsid w:val="008577BC"/>
    <w:rsid w:val="00861E21"/>
    <w:rsid w:val="00861F7D"/>
    <w:rsid w:val="0087705A"/>
    <w:rsid w:val="008815EC"/>
    <w:rsid w:val="00886746"/>
    <w:rsid w:val="00890842"/>
    <w:rsid w:val="00894C66"/>
    <w:rsid w:val="00895253"/>
    <w:rsid w:val="00896D45"/>
    <w:rsid w:val="008A005E"/>
    <w:rsid w:val="008A2C60"/>
    <w:rsid w:val="008A5418"/>
    <w:rsid w:val="008A5BB3"/>
    <w:rsid w:val="008A65A6"/>
    <w:rsid w:val="008A68FB"/>
    <w:rsid w:val="008A74EE"/>
    <w:rsid w:val="008B1F99"/>
    <w:rsid w:val="008B45E2"/>
    <w:rsid w:val="008B6DCB"/>
    <w:rsid w:val="008C00E8"/>
    <w:rsid w:val="008C09A9"/>
    <w:rsid w:val="008C4128"/>
    <w:rsid w:val="008C6FC2"/>
    <w:rsid w:val="008D2585"/>
    <w:rsid w:val="008D3AD6"/>
    <w:rsid w:val="008E11E2"/>
    <w:rsid w:val="008E206E"/>
    <w:rsid w:val="008E410B"/>
    <w:rsid w:val="008E6098"/>
    <w:rsid w:val="008E7804"/>
    <w:rsid w:val="008F0D9F"/>
    <w:rsid w:val="008F12BF"/>
    <w:rsid w:val="008F15D1"/>
    <w:rsid w:val="008F2D87"/>
    <w:rsid w:val="008F574F"/>
    <w:rsid w:val="008F5B4E"/>
    <w:rsid w:val="008F6D42"/>
    <w:rsid w:val="00901B9F"/>
    <w:rsid w:val="00910447"/>
    <w:rsid w:val="00915091"/>
    <w:rsid w:val="009161FF"/>
    <w:rsid w:val="00920E40"/>
    <w:rsid w:val="00922432"/>
    <w:rsid w:val="00924686"/>
    <w:rsid w:val="00931C27"/>
    <w:rsid w:val="00933890"/>
    <w:rsid w:val="00934A07"/>
    <w:rsid w:val="00942044"/>
    <w:rsid w:val="0094379A"/>
    <w:rsid w:val="0094480C"/>
    <w:rsid w:val="00947610"/>
    <w:rsid w:val="00950688"/>
    <w:rsid w:val="00956D19"/>
    <w:rsid w:val="00961996"/>
    <w:rsid w:val="009626A8"/>
    <w:rsid w:val="00965ADA"/>
    <w:rsid w:val="0096626C"/>
    <w:rsid w:val="00967F06"/>
    <w:rsid w:val="00973724"/>
    <w:rsid w:val="0097418C"/>
    <w:rsid w:val="009752D8"/>
    <w:rsid w:val="00975770"/>
    <w:rsid w:val="00981A91"/>
    <w:rsid w:val="00986564"/>
    <w:rsid w:val="009870E7"/>
    <w:rsid w:val="00987E5E"/>
    <w:rsid w:val="00994FEC"/>
    <w:rsid w:val="00996532"/>
    <w:rsid w:val="009A0A56"/>
    <w:rsid w:val="009A3E7A"/>
    <w:rsid w:val="009B01B9"/>
    <w:rsid w:val="009B061E"/>
    <w:rsid w:val="009B0A38"/>
    <w:rsid w:val="009B49DB"/>
    <w:rsid w:val="009C1F11"/>
    <w:rsid w:val="009C23D0"/>
    <w:rsid w:val="009D0A2F"/>
    <w:rsid w:val="009E13E0"/>
    <w:rsid w:val="009E58FB"/>
    <w:rsid w:val="009E7165"/>
    <w:rsid w:val="009E716E"/>
    <w:rsid w:val="009F70CD"/>
    <w:rsid w:val="00A00CA1"/>
    <w:rsid w:val="00A01BB3"/>
    <w:rsid w:val="00A0370F"/>
    <w:rsid w:val="00A04E38"/>
    <w:rsid w:val="00A14AC5"/>
    <w:rsid w:val="00A154E8"/>
    <w:rsid w:val="00A16B56"/>
    <w:rsid w:val="00A2402E"/>
    <w:rsid w:val="00A25D39"/>
    <w:rsid w:val="00A306E6"/>
    <w:rsid w:val="00A31D1E"/>
    <w:rsid w:val="00A32B40"/>
    <w:rsid w:val="00A344D8"/>
    <w:rsid w:val="00A40B2C"/>
    <w:rsid w:val="00A44A16"/>
    <w:rsid w:val="00A511AE"/>
    <w:rsid w:val="00A556E5"/>
    <w:rsid w:val="00A608FB"/>
    <w:rsid w:val="00A60E64"/>
    <w:rsid w:val="00A61A2D"/>
    <w:rsid w:val="00A62222"/>
    <w:rsid w:val="00A62348"/>
    <w:rsid w:val="00A628A1"/>
    <w:rsid w:val="00A6311A"/>
    <w:rsid w:val="00A73C81"/>
    <w:rsid w:val="00A95A03"/>
    <w:rsid w:val="00AA146D"/>
    <w:rsid w:val="00AA2D60"/>
    <w:rsid w:val="00AA3683"/>
    <w:rsid w:val="00AB01C0"/>
    <w:rsid w:val="00AB1164"/>
    <w:rsid w:val="00AB2791"/>
    <w:rsid w:val="00AB3AB9"/>
    <w:rsid w:val="00AB55FD"/>
    <w:rsid w:val="00AB70D6"/>
    <w:rsid w:val="00AC3B27"/>
    <w:rsid w:val="00AD26E6"/>
    <w:rsid w:val="00AD46B5"/>
    <w:rsid w:val="00AE15BE"/>
    <w:rsid w:val="00AE7F37"/>
    <w:rsid w:val="00AF0F12"/>
    <w:rsid w:val="00AF1121"/>
    <w:rsid w:val="00AF665F"/>
    <w:rsid w:val="00AF788E"/>
    <w:rsid w:val="00B12B7C"/>
    <w:rsid w:val="00B12E75"/>
    <w:rsid w:val="00B14ED5"/>
    <w:rsid w:val="00B2095D"/>
    <w:rsid w:val="00B20DD7"/>
    <w:rsid w:val="00B250EA"/>
    <w:rsid w:val="00B25F0C"/>
    <w:rsid w:val="00B26629"/>
    <w:rsid w:val="00B27606"/>
    <w:rsid w:val="00B27BAD"/>
    <w:rsid w:val="00B30EB0"/>
    <w:rsid w:val="00B3383C"/>
    <w:rsid w:val="00B35941"/>
    <w:rsid w:val="00B35C36"/>
    <w:rsid w:val="00B35D55"/>
    <w:rsid w:val="00B4089A"/>
    <w:rsid w:val="00B441AC"/>
    <w:rsid w:val="00B450CB"/>
    <w:rsid w:val="00B50414"/>
    <w:rsid w:val="00B54686"/>
    <w:rsid w:val="00B546F9"/>
    <w:rsid w:val="00B61426"/>
    <w:rsid w:val="00B62FAA"/>
    <w:rsid w:val="00B63B3B"/>
    <w:rsid w:val="00B66728"/>
    <w:rsid w:val="00B70E2D"/>
    <w:rsid w:val="00B71E5A"/>
    <w:rsid w:val="00B73C3E"/>
    <w:rsid w:val="00B74EF1"/>
    <w:rsid w:val="00B7688F"/>
    <w:rsid w:val="00B769C8"/>
    <w:rsid w:val="00B76E4F"/>
    <w:rsid w:val="00B83824"/>
    <w:rsid w:val="00B85D8B"/>
    <w:rsid w:val="00B8768C"/>
    <w:rsid w:val="00B87AA1"/>
    <w:rsid w:val="00B92A90"/>
    <w:rsid w:val="00B93A4E"/>
    <w:rsid w:val="00BA1671"/>
    <w:rsid w:val="00BB33F4"/>
    <w:rsid w:val="00BC2245"/>
    <w:rsid w:val="00BD7702"/>
    <w:rsid w:val="00BE4D61"/>
    <w:rsid w:val="00BE4E3D"/>
    <w:rsid w:val="00BF2090"/>
    <w:rsid w:val="00BF2B4F"/>
    <w:rsid w:val="00C0380A"/>
    <w:rsid w:val="00C0658E"/>
    <w:rsid w:val="00C068CA"/>
    <w:rsid w:val="00C07529"/>
    <w:rsid w:val="00C135AC"/>
    <w:rsid w:val="00C1558E"/>
    <w:rsid w:val="00C161FE"/>
    <w:rsid w:val="00C16329"/>
    <w:rsid w:val="00C16523"/>
    <w:rsid w:val="00C17C8B"/>
    <w:rsid w:val="00C24915"/>
    <w:rsid w:val="00C269FE"/>
    <w:rsid w:val="00C31703"/>
    <w:rsid w:val="00C31AB0"/>
    <w:rsid w:val="00C3333F"/>
    <w:rsid w:val="00C346D5"/>
    <w:rsid w:val="00C416E1"/>
    <w:rsid w:val="00C460FF"/>
    <w:rsid w:val="00C4796F"/>
    <w:rsid w:val="00C47B8E"/>
    <w:rsid w:val="00C562E1"/>
    <w:rsid w:val="00C6621F"/>
    <w:rsid w:val="00C711E3"/>
    <w:rsid w:val="00C73719"/>
    <w:rsid w:val="00C81908"/>
    <w:rsid w:val="00C85E2C"/>
    <w:rsid w:val="00C85E90"/>
    <w:rsid w:val="00C924D8"/>
    <w:rsid w:val="00C92ABA"/>
    <w:rsid w:val="00C933F1"/>
    <w:rsid w:val="00CB3A31"/>
    <w:rsid w:val="00CB59D4"/>
    <w:rsid w:val="00CC2E48"/>
    <w:rsid w:val="00CC3116"/>
    <w:rsid w:val="00CD0D3B"/>
    <w:rsid w:val="00CD301B"/>
    <w:rsid w:val="00CD34D9"/>
    <w:rsid w:val="00CD455F"/>
    <w:rsid w:val="00CD6F14"/>
    <w:rsid w:val="00CE0260"/>
    <w:rsid w:val="00CE1A86"/>
    <w:rsid w:val="00CE387B"/>
    <w:rsid w:val="00CE470C"/>
    <w:rsid w:val="00CE4B89"/>
    <w:rsid w:val="00CF0BA8"/>
    <w:rsid w:val="00CF2D86"/>
    <w:rsid w:val="00D01C87"/>
    <w:rsid w:val="00D05E59"/>
    <w:rsid w:val="00D12314"/>
    <w:rsid w:val="00D1325F"/>
    <w:rsid w:val="00D14F83"/>
    <w:rsid w:val="00D17533"/>
    <w:rsid w:val="00D213DF"/>
    <w:rsid w:val="00D22797"/>
    <w:rsid w:val="00D234B8"/>
    <w:rsid w:val="00D24D03"/>
    <w:rsid w:val="00D26847"/>
    <w:rsid w:val="00D31525"/>
    <w:rsid w:val="00D31BC3"/>
    <w:rsid w:val="00D32660"/>
    <w:rsid w:val="00D344F6"/>
    <w:rsid w:val="00D34739"/>
    <w:rsid w:val="00D37C1F"/>
    <w:rsid w:val="00D421BD"/>
    <w:rsid w:val="00D50EF4"/>
    <w:rsid w:val="00D56873"/>
    <w:rsid w:val="00D573D5"/>
    <w:rsid w:val="00D57C49"/>
    <w:rsid w:val="00D60905"/>
    <w:rsid w:val="00D6727F"/>
    <w:rsid w:val="00D70F1E"/>
    <w:rsid w:val="00D762C7"/>
    <w:rsid w:val="00D80D36"/>
    <w:rsid w:val="00D82340"/>
    <w:rsid w:val="00D83127"/>
    <w:rsid w:val="00D860A2"/>
    <w:rsid w:val="00D960A8"/>
    <w:rsid w:val="00DA250F"/>
    <w:rsid w:val="00DA3BEC"/>
    <w:rsid w:val="00DA4DF6"/>
    <w:rsid w:val="00DB1EA9"/>
    <w:rsid w:val="00DB66A9"/>
    <w:rsid w:val="00DC4BDD"/>
    <w:rsid w:val="00DC64B0"/>
    <w:rsid w:val="00DD142A"/>
    <w:rsid w:val="00DD36AF"/>
    <w:rsid w:val="00DD7212"/>
    <w:rsid w:val="00DE3623"/>
    <w:rsid w:val="00DE41DF"/>
    <w:rsid w:val="00DE4B26"/>
    <w:rsid w:val="00DE5BA6"/>
    <w:rsid w:val="00DE741A"/>
    <w:rsid w:val="00DE76C6"/>
    <w:rsid w:val="00DF3F22"/>
    <w:rsid w:val="00DF606C"/>
    <w:rsid w:val="00DF6DA5"/>
    <w:rsid w:val="00DF7890"/>
    <w:rsid w:val="00DF7C62"/>
    <w:rsid w:val="00E0400B"/>
    <w:rsid w:val="00E14B37"/>
    <w:rsid w:val="00E155BC"/>
    <w:rsid w:val="00E17104"/>
    <w:rsid w:val="00E207BD"/>
    <w:rsid w:val="00E22467"/>
    <w:rsid w:val="00E23F43"/>
    <w:rsid w:val="00E36717"/>
    <w:rsid w:val="00E4368D"/>
    <w:rsid w:val="00E43B21"/>
    <w:rsid w:val="00E4650B"/>
    <w:rsid w:val="00E4751E"/>
    <w:rsid w:val="00E50FE9"/>
    <w:rsid w:val="00E51562"/>
    <w:rsid w:val="00E52F74"/>
    <w:rsid w:val="00E5598D"/>
    <w:rsid w:val="00E576D3"/>
    <w:rsid w:val="00E60E97"/>
    <w:rsid w:val="00E6234B"/>
    <w:rsid w:val="00E628E3"/>
    <w:rsid w:val="00E63B8C"/>
    <w:rsid w:val="00E64E6A"/>
    <w:rsid w:val="00E6513B"/>
    <w:rsid w:val="00E67261"/>
    <w:rsid w:val="00E70DB2"/>
    <w:rsid w:val="00E720F5"/>
    <w:rsid w:val="00E83FEC"/>
    <w:rsid w:val="00E86DBB"/>
    <w:rsid w:val="00E87947"/>
    <w:rsid w:val="00E90000"/>
    <w:rsid w:val="00E95AE8"/>
    <w:rsid w:val="00E95D32"/>
    <w:rsid w:val="00EA195E"/>
    <w:rsid w:val="00EA599F"/>
    <w:rsid w:val="00EB2325"/>
    <w:rsid w:val="00EB5B9F"/>
    <w:rsid w:val="00EB6896"/>
    <w:rsid w:val="00EC043D"/>
    <w:rsid w:val="00EC159C"/>
    <w:rsid w:val="00EC3D51"/>
    <w:rsid w:val="00EC4846"/>
    <w:rsid w:val="00EC6C6A"/>
    <w:rsid w:val="00ED4C6D"/>
    <w:rsid w:val="00ED5C1D"/>
    <w:rsid w:val="00ED5E1A"/>
    <w:rsid w:val="00ED7A9B"/>
    <w:rsid w:val="00EE04B9"/>
    <w:rsid w:val="00EE432A"/>
    <w:rsid w:val="00EF0429"/>
    <w:rsid w:val="00EF3428"/>
    <w:rsid w:val="00EF39D2"/>
    <w:rsid w:val="00EF4FB3"/>
    <w:rsid w:val="00EF7602"/>
    <w:rsid w:val="00F01AE9"/>
    <w:rsid w:val="00F04493"/>
    <w:rsid w:val="00F06F41"/>
    <w:rsid w:val="00F07E32"/>
    <w:rsid w:val="00F11B19"/>
    <w:rsid w:val="00F12844"/>
    <w:rsid w:val="00F2329B"/>
    <w:rsid w:val="00F23D34"/>
    <w:rsid w:val="00F24E9C"/>
    <w:rsid w:val="00F407C3"/>
    <w:rsid w:val="00F41654"/>
    <w:rsid w:val="00F4752F"/>
    <w:rsid w:val="00F50403"/>
    <w:rsid w:val="00F5218D"/>
    <w:rsid w:val="00F53DA2"/>
    <w:rsid w:val="00F544E6"/>
    <w:rsid w:val="00F549D3"/>
    <w:rsid w:val="00F55B8E"/>
    <w:rsid w:val="00F609C4"/>
    <w:rsid w:val="00F61ACC"/>
    <w:rsid w:val="00F61D4C"/>
    <w:rsid w:val="00F623C9"/>
    <w:rsid w:val="00F638B4"/>
    <w:rsid w:val="00F75DFE"/>
    <w:rsid w:val="00F77AA3"/>
    <w:rsid w:val="00F81304"/>
    <w:rsid w:val="00F82BAC"/>
    <w:rsid w:val="00F84205"/>
    <w:rsid w:val="00FA0308"/>
    <w:rsid w:val="00FA2786"/>
    <w:rsid w:val="00FA667A"/>
    <w:rsid w:val="00FA7033"/>
    <w:rsid w:val="00FB0EEF"/>
    <w:rsid w:val="00FB1666"/>
    <w:rsid w:val="00FB2302"/>
    <w:rsid w:val="00FB32A6"/>
    <w:rsid w:val="00FB480F"/>
    <w:rsid w:val="00FB50B8"/>
    <w:rsid w:val="00FB5A01"/>
    <w:rsid w:val="00FB62C4"/>
    <w:rsid w:val="00FB6BFC"/>
    <w:rsid w:val="00FC3CFC"/>
    <w:rsid w:val="00FD402E"/>
    <w:rsid w:val="00FD5A9D"/>
    <w:rsid w:val="00FE0038"/>
    <w:rsid w:val="00FE168A"/>
    <w:rsid w:val="00FE3E6C"/>
    <w:rsid w:val="00FF2688"/>
    <w:rsid w:val="00FF2DE6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6E935"/>
  <w15:chartTrackingRefBased/>
  <w15:docId w15:val="{589C81AF-B9A0-4812-B354-F619C89F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80" w:lineRule="exact"/>
        <w:ind w:left="284" w:firstLine="43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D"/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AE8"/>
    <w:pPr>
      <w:spacing w:before="360" w:after="240" w:line="320" w:lineRule="exact"/>
      <w:outlineLvl w:val="0"/>
    </w:pPr>
    <w:rPr>
      <w:b/>
      <w:cap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9C3"/>
    <w:pPr>
      <w:shd w:val="clear" w:color="auto" w:fill="68A042"/>
      <w:spacing w:before="360" w:after="240" w:line="520" w:lineRule="exact"/>
      <w:ind w:left="-113" w:firstLine="113"/>
      <w:outlineLvl w:val="1"/>
    </w:pPr>
    <w:rPr>
      <w:b/>
      <w:bCs/>
      <w:caps/>
      <w:color w:val="FFFFFF" w:themeColor="background1"/>
      <w:position w:val="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F84"/>
    <w:pPr>
      <w:keepNext/>
      <w:keepLines/>
      <w:spacing w:before="240"/>
      <w:outlineLvl w:val="2"/>
      <w15:collapsed/>
    </w:pPr>
    <w:rPr>
      <w:rFonts w:ascii="Calibri" w:eastAsiaTheme="majorEastAsia" w:hAnsi="Calibri" w:cstheme="majorBidi"/>
      <w:b/>
      <w:color w:val="68A04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43C"/>
    <w:pPr>
      <w:keepNext/>
      <w:keepLines/>
      <w:outlineLvl w:val="3"/>
    </w:pPr>
    <w:rPr>
      <w:rFonts w:ascii="Calibri" w:eastAsiaTheme="majorEastAsia" w:hAnsi="Calibri" w:cstheme="majorBidi"/>
      <w:i/>
      <w:iCs/>
      <w:color w:val="68A04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ADA"/>
    <w:pPr>
      <w:numPr>
        <w:numId w:val="1"/>
      </w:numPr>
      <w:spacing w:line="260" w:lineRule="exact"/>
      <w:ind w:left="567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A62222"/>
    <w:rPr>
      <w:i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9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5AE8"/>
    <w:rPr>
      <w:b/>
      <w:caps/>
      <w:color w:val="7F7F7F" w:themeColor="text1" w:themeTint="8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69C3"/>
    <w:rPr>
      <w:b/>
      <w:bCs/>
      <w:caps/>
      <w:color w:val="FFFFFF" w:themeColor="background1"/>
      <w:position w:val="6"/>
      <w:sz w:val="28"/>
      <w:szCs w:val="28"/>
      <w:shd w:val="clear" w:color="auto" w:fill="68A042"/>
    </w:rPr>
  </w:style>
  <w:style w:type="paragraph" w:customStyle="1" w:styleId="Style1">
    <w:name w:val="Style1"/>
    <w:basedOn w:val="Normal"/>
    <w:link w:val="Style1Char"/>
    <w:rsid w:val="00410175"/>
    <w:pPr>
      <w:spacing w:after="0" w:line="240" w:lineRule="auto"/>
    </w:pPr>
    <w:rPr>
      <w:color w:val="ED7D31" w:themeColor="accent2"/>
      <w:lang w:val="en-US"/>
    </w:rPr>
  </w:style>
  <w:style w:type="character" w:customStyle="1" w:styleId="Style1Char">
    <w:name w:val="Style1 Char"/>
    <w:basedOn w:val="DefaultParagraphFont"/>
    <w:link w:val="Style1"/>
    <w:rsid w:val="00410175"/>
    <w:rPr>
      <w:color w:val="ED7D31" w:themeColor="accent2"/>
      <w:lang w:val="en-US"/>
    </w:rPr>
  </w:style>
  <w:style w:type="paragraph" w:customStyle="1" w:styleId="Sub-Headings">
    <w:name w:val="Sub-Headings"/>
    <w:basedOn w:val="Normal"/>
    <w:next w:val="Normal"/>
    <w:link w:val="Sub-HeadingsChar"/>
    <w:rsid w:val="00243E1B"/>
    <w:pPr>
      <w:spacing w:line="260" w:lineRule="exact"/>
    </w:pPr>
    <w:rPr>
      <w:b/>
      <w:bCs/>
      <w:color w:val="000000"/>
      <w:sz w:val="24"/>
      <w:szCs w:val="24"/>
    </w:rPr>
  </w:style>
  <w:style w:type="paragraph" w:customStyle="1" w:styleId="Sub-Heading">
    <w:name w:val="Sub-Heading"/>
    <w:basedOn w:val="Heading1"/>
    <w:next w:val="Normal"/>
    <w:link w:val="Sub-HeadingChar"/>
    <w:rsid w:val="00E4751E"/>
    <w:pPr>
      <w:spacing w:line="280" w:lineRule="exact"/>
    </w:pPr>
    <w:rPr>
      <w:rFonts w:ascii="Calibri" w:hAnsi="Calibri"/>
      <w:caps w:val="0"/>
      <w:color w:val="68A042"/>
      <w:sz w:val="24"/>
    </w:rPr>
  </w:style>
  <w:style w:type="character" w:customStyle="1" w:styleId="Sub-HeadingsChar">
    <w:name w:val="Sub-Headings Char"/>
    <w:basedOn w:val="DefaultParagraphFont"/>
    <w:link w:val="Sub-Headings"/>
    <w:rsid w:val="00243E1B"/>
    <w:rPr>
      <w:b/>
      <w:b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606"/>
    <w:pPr>
      <w:pBdr>
        <w:top w:val="single" w:sz="12" w:space="10" w:color="808080" w:themeColor="background1" w:themeShade="80"/>
        <w:bottom w:val="single" w:sz="12" w:space="10" w:color="808080" w:themeColor="background1" w:themeShade="80"/>
      </w:pBdr>
      <w:spacing w:before="240" w:after="240" w:line="260" w:lineRule="exact"/>
      <w:contextualSpacing/>
    </w:pPr>
    <w:rPr>
      <w:i/>
      <w:iCs/>
      <w:color w:val="68A042"/>
    </w:rPr>
  </w:style>
  <w:style w:type="character" w:customStyle="1" w:styleId="Sub-HeadingChar">
    <w:name w:val="Sub-Heading Char"/>
    <w:basedOn w:val="Heading1Char"/>
    <w:link w:val="Sub-Heading"/>
    <w:rsid w:val="00E4751E"/>
    <w:rPr>
      <w:rFonts w:ascii="Calibri" w:hAnsi="Calibri"/>
      <w:b/>
      <w:caps w:val="0"/>
      <w:color w:val="68A042"/>
      <w:sz w:val="24"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606"/>
    <w:rPr>
      <w:i/>
      <w:iCs/>
      <w:color w:val="68A042"/>
    </w:rPr>
  </w:style>
  <w:style w:type="paragraph" w:styleId="Title">
    <w:name w:val="Title"/>
    <w:basedOn w:val="Normal"/>
    <w:next w:val="Normal"/>
    <w:link w:val="TitleChar"/>
    <w:uiPriority w:val="10"/>
    <w:qFormat/>
    <w:rsid w:val="008E11E2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1E2"/>
    <w:rPr>
      <w:rFonts w:ascii="Calibri" w:eastAsiaTheme="majorEastAsia" w:hAnsi="Calibri" w:cstheme="majorBidi"/>
      <w:b/>
      <w:caps/>
      <w:color w:val="7F7F7F" w:themeColor="text1" w:themeTint="80"/>
      <w:kern w:val="28"/>
      <w:sz w:val="5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66F84"/>
    <w:rPr>
      <w:rFonts w:ascii="Calibri" w:eastAsiaTheme="majorEastAsia" w:hAnsi="Calibri" w:cstheme="majorBidi"/>
      <w:b/>
      <w:color w:val="68A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543C"/>
    <w:rPr>
      <w:rFonts w:ascii="Calibri" w:eastAsiaTheme="majorEastAsia" w:hAnsi="Calibri" w:cstheme="majorBidi"/>
      <w:i/>
      <w:iCs/>
      <w:color w:val="68A042"/>
      <w:sz w:val="24"/>
    </w:rPr>
  </w:style>
  <w:style w:type="paragraph" w:customStyle="1" w:styleId="CheckList">
    <w:name w:val="Check List"/>
    <w:basedOn w:val="ListParagraph"/>
    <w:qFormat/>
    <w:rsid w:val="00965ADA"/>
    <w:pPr>
      <w:numPr>
        <w:numId w:val="2"/>
      </w:numPr>
      <w:ind w:left="851" w:hanging="284"/>
    </w:pPr>
  </w:style>
  <w:style w:type="paragraph" w:styleId="Header">
    <w:name w:val="header"/>
    <w:basedOn w:val="Normal"/>
    <w:link w:val="HeaderChar"/>
    <w:uiPriority w:val="99"/>
    <w:unhideWhenUsed/>
    <w:rsid w:val="006F7A6A"/>
    <w:pPr>
      <w:tabs>
        <w:tab w:val="right" w:pos="13958"/>
      </w:tabs>
      <w:spacing w:after="0" w:line="240" w:lineRule="exact"/>
    </w:pPr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7A6A"/>
    <w:rPr>
      <w:b/>
      <w:bCs/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28D"/>
    <w:rPr>
      <w:color w:val="7F7F7F" w:themeColor="text1" w:themeTint="80"/>
    </w:rPr>
  </w:style>
  <w:style w:type="character" w:styleId="FollowedHyperlink">
    <w:name w:val="FollowedHyperlink"/>
    <w:basedOn w:val="DefaultParagraphFont"/>
    <w:uiPriority w:val="99"/>
    <w:semiHidden/>
    <w:unhideWhenUsed/>
    <w:rsid w:val="00EB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colnshire.gov.uk/downloads/file/1839/adult-care-non-residential-contributions-policy" TargetMode="External"/><Relationship Id="rId13" Type="http://schemas.openxmlformats.org/officeDocument/2006/relationships/hyperlink" Target="https://trixcms.antser.com/api/assets/lincolnshireadults/cd2d9cb4-3462-4226-b7b5-39c895149fa9/factsheet-charging-for-residential-care.pdf" TargetMode="External"/><Relationship Id="rId18" Type="http://schemas.openxmlformats.org/officeDocument/2006/relationships/hyperlink" Target="https://trixcms.antser.com/api/assets/lincolnshireadults/27b10f84-4298-47fa-9b26-82711879a765/factsheet-self-funders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incolnshire.gov.uk/directory-record/61699/adult-care-charging-policy" TargetMode="External"/><Relationship Id="rId17" Type="http://schemas.openxmlformats.org/officeDocument/2006/relationships/hyperlink" Target="https://trixcms.antser.com/api/assets/lincolnshireadults/80fa7587-fba2-4de4-9844-510073c7b757/factsheet-paying-for-adult-care.pd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rixcms.antser.com/api/assets/lincolnshireadults/93f21c42-ff25-4f2a-a5c0-3702d9fadaf0/factsheet-direct-payments.pdf" TargetMode="External"/><Relationship Id="rId20" Type="http://schemas.openxmlformats.org/officeDocument/2006/relationships/hyperlink" Target="https://lincolnshire.betteroff.org.uk/financialassess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6SGzHKreW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rixcms.antser.com/api/assets/lincolnshireadults/43e86f6b-bfc4-4117-8cae-0d427c047d26/factsheet-deferred-payments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lincolnshireadults.proceduresonline.antser.com/chapter/financial-assessment" TargetMode="External"/><Relationship Id="rId19" Type="http://schemas.openxmlformats.org/officeDocument/2006/relationships/hyperlink" Target="https://lincolnshire.betteroff.org.uk/chargescalcu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colnshire.betteroff.org.uk/chargescalculator" TargetMode="External"/><Relationship Id="rId14" Type="http://schemas.openxmlformats.org/officeDocument/2006/relationships/hyperlink" Target="https://trixcms.antser.com/api/assets/lincolnshireadults/210db372-b089-4de3-bb4c-7d74445c851f/factsheet-charging-for-community-care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C247-80A7-4D40-B39D-56C731D4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7610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Links>
    <vt:vector size="18" baseType="variant">
      <vt:variant>
        <vt:i4>589860</vt:i4>
      </vt:variant>
      <vt:variant>
        <vt:i4>6</vt:i4>
      </vt:variant>
      <vt:variant>
        <vt:i4>0</vt:i4>
      </vt:variant>
      <vt:variant>
        <vt:i4>5</vt:i4>
      </vt:variant>
      <vt:variant>
        <vt:lpwstr>https://lincolnshire.betteroff.org.uk/</vt:lpwstr>
      </vt:variant>
      <vt:variant>
        <vt:lpwstr>/forms/LI_CA/show</vt:lpwstr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https://www.lascappp.co.uk/customer-finances-introduction/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https://lincolnshirecc-my.sharepoint.com/personal/sue_johnson_lincolnshire_gov_uk/Documents/Desktop/Policies &amp; Manuals/APPP.url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Johnson</dc:creator>
  <cp:keywords/>
  <dc:description/>
  <cp:lastModifiedBy>Sue Johnson</cp:lastModifiedBy>
  <cp:revision>2</cp:revision>
  <dcterms:created xsi:type="dcterms:W3CDTF">2022-10-26T16:14:00Z</dcterms:created>
  <dcterms:modified xsi:type="dcterms:W3CDTF">2022-10-26T16:14:00Z</dcterms:modified>
</cp:coreProperties>
</file>