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0A750" w14:textId="22A0B3E6" w:rsidR="00BC7696" w:rsidRPr="00CE3CAD" w:rsidRDefault="00E271F0" w:rsidP="00BC7696">
      <w:pPr>
        <w:spacing w:after="0"/>
        <w:rPr>
          <w:rFonts w:ascii="Arial" w:eastAsia="Times New Roman" w:hAnsi="Arial" w:cs="Arial"/>
          <w:b/>
          <w:bCs/>
          <w:color w:val="005EB8"/>
          <w:sz w:val="36"/>
          <w:szCs w:val="36"/>
          <w:lang w:val="en-US"/>
        </w:rPr>
      </w:pPr>
      <w:r>
        <w:rPr>
          <w:rFonts w:ascii="Arial" w:eastAsia="Times New Roman" w:hAnsi="Arial" w:cs="Arial"/>
          <w:b/>
          <w:bCs/>
          <w:noProof/>
          <w:color w:val="005EB8"/>
          <w:sz w:val="36"/>
          <w:szCs w:val="36"/>
          <w:lang w:val="en-US"/>
        </w:rPr>
        <w:drawing>
          <wp:anchor distT="0" distB="0" distL="114300" distR="114300" simplePos="0" relativeHeight="251659264" behindDoc="0" locked="0" layoutInCell="1" allowOverlap="1" wp14:anchorId="0A224C8F" wp14:editId="061C9A01">
            <wp:simplePos x="0" y="0"/>
            <wp:positionH relativeFrom="column">
              <wp:posOffset>4451350</wp:posOffset>
            </wp:positionH>
            <wp:positionV relativeFrom="paragraph">
              <wp:posOffset>235585</wp:posOffset>
            </wp:positionV>
            <wp:extent cx="1620520" cy="7715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8">
                      <a:extLst>
                        <a:ext uri="{28A0092B-C50C-407E-A947-70E740481C1C}">
                          <a14:useLocalDpi xmlns:a14="http://schemas.microsoft.com/office/drawing/2010/main" val="0"/>
                        </a:ext>
                      </a:extLst>
                    </a:blip>
                    <a:srcRect/>
                    <a:stretch/>
                  </pic:blipFill>
                  <pic:spPr>
                    <a:xfrm>
                      <a:off x="0" y="0"/>
                      <a:ext cx="1620520" cy="771500"/>
                    </a:xfrm>
                    <a:prstGeom prst="rect">
                      <a:avLst/>
                    </a:prstGeom>
                  </pic:spPr>
                </pic:pic>
              </a:graphicData>
            </a:graphic>
          </wp:anchor>
        </w:drawing>
      </w:r>
    </w:p>
    <w:p w14:paraId="08CFA4E6" w14:textId="6CBB2FA5" w:rsidR="00BC7696" w:rsidRPr="00CE3CAD" w:rsidRDefault="00F80880" w:rsidP="00F80880">
      <w:pPr>
        <w:spacing w:after="0"/>
        <w:rPr>
          <w:rFonts w:ascii="Arial" w:eastAsia="Arial" w:hAnsi="Arial" w:cs="Arial"/>
          <w:sz w:val="20"/>
          <w:lang w:val="en-US"/>
        </w:rPr>
      </w:pPr>
      <w:r w:rsidRPr="00CE3CAD">
        <w:rPr>
          <w:rFonts w:ascii="Arial" w:hAnsi="Arial" w:cs="Arial"/>
          <w:noProof/>
          <w:color w:val="1F497D"/>
          <w:sz w:val="24"/>
          <w:szCs w:val="24"/>
          <w:lang w:eastAsia="en-GB"/>
        </w:rPr>
        <w:drawing>
          <wp:inline distT="0" distB="0" distL="0" distR="0" wp14:anchorId="6AB50A1E" wp14:editId="2B941662">
            <wp:extent cx="1915886" cy="6286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30509" cy="633448"/>
                    </a:xfrm>
                    <a:prstGeom prst="rect">
                      <a:avLst/>
                    </a:prstGeom>
                    <a:noFill/>
                    <a:ln>
                      <a:noFill/>
                    </a:ln>
                  </pic:spPr>
                </pic:pic>
              </a:graphicData>
            </a:graphic>
          </wp:inline>
        </w:drawing>
      </w:r>
      <w:r w:rsidR="00BC7696" w:rsidRPr="00CE3CAD">
        <w:rPr>
          <w:rFonts w:ascii="Arial" w:eastAsia="Arial" w:hAnsi="Arial" w:cs="Arial"/>
          <w:sz w:val="20"/>
          <w:lang w:val="en-US"/>
        </w:rPr>
        <w:tab/>
      </w:r>
    </w:p>
    <w:p w14:paraId="20F5B059" w14:textId="300D7CEA" w:rsidR="00BC7696" w:rsidRPr="00CE3CAD" w:rsidRDefault="00BC7696" w:rsidP="00BC7696">
      <w:pPr>
        <w:widowControl w:val="0"/>
        <w:autoSpaceDE w:val="0"/>
        <w:autoSpaceDN w:val="0"/>
        <w:spacing w:after="0" w:line="240" w:lineRule="auto"/>
        <w:rPr>
          <w:rFonts w:ascii="Arial" w:eastAsia="Arial" w:hAnsi="Arial" w:cs="Arial"/>
          <w:sz w:val="20"/>
          <w:szCs w:val="24"/>
          <w:lang w:val="en-US"/>
        </w:rPr>
      </w:pPr>
    </w:p>
    <w:p w14:paraId="0C7B00EE" w14:textId="35DCA704" w:rsidR="00BC7696" w:rsidRPr="00CE3CAD" w:rsidRDefault="00BC7696" w:rsidP="00BC7696">
      <w:pPr>
        <w:widowControl w:val="0"/>
        <w:autoSpaceDE w:val="0"/>
        <w:autoSpaceDN w:val="0"/>
        <w:spacing w:after="0" w:line="240" w:lineRule="auto"/>
        <w:jc w:val="both"/>
        <w:rPr>
          <w:rFonts w:ascii="Arial" w:eastAsia="Arial" w:hAnsi="Arial" w:cs="Arial"/>
          <w:sz w:val="20"/>
          <w:szCs w:val="24"/>
          <w:lang w:val="en-US"/>
        </w:rPr>
      </w:pPr>
    </w:p>
    <w:p w14:paraId="65DF5F95" w14:textId="46F9112A" w:rsidR="00BC7696" w:rsidRPr="00CE3CAD" w:rsidRDefault="00BC7696" w:rsidP="00BC7696">
      <w:pPr>
        <w:widowControl w:val="0"/>
        <w:autoSpaceDE w:val="0"/>
        <w:autoSpaceDN w:val="0"/>
        <w:spacing w:after="0" w:line="240" w:lineRule="auto"/>
        <w:rPr>
          <w:rFonts w:ascii="Arial" w:eastAsia="Arial" w:hAnsi="Arial" w:cs="Arial"/>
          <w:sz w:val="20"/>
          <w:szCs w:val="24"/>
          <w:lang w:val="en-US"/>
        </w:rPr>
      </w:pPr>
    </w:p>
    <w:p w14:paraId="4562CF04" w14:textId="77777777" w:rsidR="00BC7696" w:rsidRPr="00CE3CAD" w:rsidRDefault="00BC7696" w:rsidP="00BC7696">
      <w:pPr>
        <w:widowControl w:val="0"/>
        <w:autoSpaceDE w:val="0"/>
        <w:autoSpaceDN w:val="0"/>
        <w:spacing w:after="0" w:line="240" w:lineRule="auto"/>
        <w:rPr>
          <w:rFonts w:ascii="Arial" w:eastAsia="Arial" w:hAnsi="Arial" w:cs="Arial"/>
          <w:sz w:val="20"/>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6664"/>
      </w:tblGrid>
      <w:tr w:rsidR="00BC7696" w:rsidRPr="00CE3CAD" w14:paraId="63C07774" w14:textId="77777777" w:rsidTr="007A1A3C">
        <w:tc>
          <w:tcPr>
            <w:tcW w:w="8931" w:type="dxa"/>
            <w:gridSpan w:val="2"/>
          </w:tcPr>
          <w:p w14:paraId="7AAC97E7" w14:textId="77777777" w:rsidR="00BC7696" w:rsidRPr="00CE3CAD" w:rsidRDefault="00BC7696" w:rsidP="007A1A3C">
            <w:pPr>
              <w:widowControl w:val="0"/>
              <w:autoSpaceDE w:val="0"/>
              <w:autoSpaceDN w:val="0"/>
              <w:spacing w:after="0" w:line="240" w:lineRule="auto"/>
              <w:rPr>
                <w:rFonts w:ascii="Arial" w:eastAsia="Times New Roman" w:hAnsi="Arial" w:cs="Arial"/>
                <w:szCs w:val="24"/>
                <w:lang w:val="en-US" w:eastAsia="en-GB"/>
              </w:rPr>
            </w:pPr>
          </w:p>
          <w:p w14:paraId="4A4C75C0" w14:textId="77777777" w:rsidR="00BC7696" w:rsidRPr="00CE3CAD" w:rsidRDefault="00BC7696" w:rsidP="007A1A3C">
            <w:pPr>
              <w:widowControl w:val="0"/>
              <w:autoSpaceDE w:val="0"/>
              <w:autoSpaceDN w:val="0"/>
              <w:spacing w:after="0" w:line="240" w:lineRule="auto"/>
              <w:rPr>
                <w:rFonts w:ascii="Arial" w:eastAsia="Times New Roman" w:hAnsi="Arial" w:cs="Arial"/>
                <w:szCs w:val="24"/>
                <w:lang w:val="en-US" w:eastAsia="en-GB"/>
              </w:rPr>
            </w:pPr>
          </w:p>
          <w:p w14:paraId="724E11E6" w14:textId="77777777" w:rsidR="00BC7696" w:rsidRPr="00CE3CAD" w:rsidRDefault="00BC7696" w:rsidP="007A1A3C">
            <w:pPr>
              <w:widowControl w:val="0"/>
              <w:autoSpaceDE w:val="0"/>
              <w:autoSpaceDN w:val="0"/>
              <w:spacing w:after="0" w:line="240" w:lineRule="auto"/>
              <w:rPr>
                <w:rFonts w:ascii="Arial" w:eastAsia="Times New Roman" w:hAnsi="Arial" w:cs="Arial"/>
                <w:szCs w:val="24"/>
                <w:lang w:val="en-US" w:eastAsia="en-GB"/>
              </w:rPr>
            </w:pPr>
          </w:p>
          <w:p w14:paraId="3811ABE0" w14:textId="26487E68" w:rsidR="00BC7696" w:rsidRPr="00CE3CAD" w:rsidRDefault="00A862B5" w:rsidP="007A1A3C">
            <w:pPr>
              <w:widowControl w:val="0"/>
              <w:autoSpaceDE w:val="0"/>
              <w:autoSpaceDN w:val="0"/>
              <w:spacing w:after="0" w:line="240" w:lineRule="auto"/>
              <w:jc w:val="center"/>
              <w:rPr>
                <w:rFonts w:ascii="Arial" w:eastAsia="Arial" w:hAnsi="Arial" w:cs="Arial"/>
                <w:b/>
                <w:color w:val="4F81BD" w:themeColor="accent1"/>
                <w:sz w:val="36"/>
                <w:szCs w:val="36"/>
                <w:lang w:val="en-US"/>
              </w:rPr>
            </w:pPr>
            <w:r w:rsidRPr="00CE3CAD">
              <w:rPr>
                <w:rFonts w:ascii="Arial" w:hAnsi="Arial" w:cs="Arial"/>
                <w:b/>
                <w:color w:val="4F81BD" w:themeColor="accent1"/>
                <w:sz w:val="36"/>
                <w:szCs w:val="36"/>
              </w:rPr>
              <w:t xml:space="preserve">Continuing Healthcare </w:t>
            </w:r>
            <w:r w:rsidR="00BC7696" w:rsidRPr="00CE3CAD">
              <w:rPr>
                <w:rFonts w:ascii="Arial" w:hAnsi="Arial" w:cs="Arial"/>
                <w:b/>
                <w:color w:val="4F81BD" w:themeColor="accent1"/>
                <w:sz w:val="36"/>
                <w:szCs w:val="36"/>
              </w:rPr>
              <w:t>Inter-Agency Dispute Policy</w:t>
            </w:r>
            <w:r w:rsidRPr="00CE3CAD">
              <w:rPr>
                <w:rFonts w:ascii="Arial" w:hAnsi="Arial" w:cs="Arial"/>
                <w:b/>
                <w:color w:val="4F81BD" w:themeColor="accent1"/>
                <w:sz w:val="36"/>
                <w:szCs w:val="36"/>
              </w:rPr>
              <w:t xml:space="preserve"> (Lincolnshire </w:t>
            </w:r>
            <w:r w:rsidR="00E271F0">
              <w:rPr>
                <w:rFonts w:ascii="Arial" w:hAnsi="Arial" w:cs="Arial"/>
                <w:b/>
                <w:color w:val="4F81BD" w:themeColor="accent1"/>
                <w:sz w:val="36"/>
                <w:szCs w:val="36"/>
              </w:rPr>
              <w:t>ICB</w:t>
            </w:r>
            <w:r w:rsidRPr="00CE3CAD">
              <w:rPr>
                <w:rFonts w:ascii="Arial" w:hAnsi="Arial" w:cs="Arial"/>
                <w:b/>
                <w:color w:val="4F81BD" w:themeColor="accent1"/>
                <w:sz w:val="36"/>
                <w:szCs w:val="36"/>
              </w:rPr>
              <w:t>)</w:t>
            </w:r>
          </w:p>
          <w:p w14:paraId="18FB8C04" w14:textId="77777777" w:rsidR="00BC7696" w:rsidRPr="00CE3CAD" w:rsidRDefault="00BC7696" w:rsidP="007A1A3C">
            <w:pPr>
              <w:widowControl w:val="0"/>
              <w:autoSpaceDE w:val="0"/>
              <w:autoSpaceDN w:val="0"/>
              <w:spacing w:after="0" w:line="240" w:lineRule="auto"/>
              <w:jc w:val="center"/>
              <w:rPr>
                <w:rFonts w:ascii="Arial" w:eastAsia="Arial" w:hAnsi="Arial" w:cs="Arial"/>
                <w:b/>
                <w:color w:val="0070C0"/>
                <w:sz w:val="40"/>
                <w:szCs w:val="40"/>
                <w:lang w:val="en-US"/>
              </w:rPr>
            </w:pPr>
          </w:p>
          <w:p w14:paraId="05372E8D" w14:textId="77777777" w:rsidR="00BC7696" w:rsidRPr="00CE3CAD" w:rsidRDefault="00BC7696" w:rsidP="007A1A3C">
            <w:pPr>
              <w:widowControl w:val="0"/>
              <w:autoSpaceDE w:val="0"/>
              <w:autoSpaceDN w:val="0"/>
              <w:spacing w:after="0" w:line="240" w:lineRule="auto"/>
              <w:rPr>
                <w:rFonts w:ascii="Arial" w:eastAsia="Times New Roman" w:hAnsi="Arial" w:cs="Arial"/>
                <w:szCs w:val="24"/>
                <w:lang w:val="en-US" w:eastAsia="en-GB"/>
              </w:rPr>
            </w:pPr>
          </w:p>
          <w:p w14:paraId="31019A6F" w14:textId="77777777" w:rsidR="00BC7696" w:rsidRPr="00CE3CAD" w:rsidRDefault="00BC7696" w:rsidP="007A1A3C">
            <w:pPr>
              <w:widowControl w:val="0"/>
              <w:autoSpaceDE w:val="0"/>
              <w:autoSpaceDN w:val="0"/>
              <w:spacing w:after="0" w:line="240" w:lineRule="auto"/>
              <w:rPr>
                <w:rFonts w:ascii="Arial" w:eastAsia="Times New Roman" w:hAnsi="Arial" w:cs="Arial"/>
                <w:szCs w:val="24"/>
                <w:lang w:val="en-US" w:eastAsia="en-GB"/>
              </w:rPr>
            </w:pPr>
          </w:p>
          <w:p w14:paraId="258E6B8B" w14:textId="77777777" w:rsidR="00BC7696" w:rsidRPr="00CE3CAD" w:rsidRDefault="00BC7696" w:rsidP="007A1A3C">
            <w:pPr>
              <w:widowControl w:val="0"/>
              <w:autoSpaceDE w:val="0"/>
              <w:autoSpaceDN w:val="0"/>
              <w:spacing w:after="0" w:line="240" w:lineRule="auto"/>
              <w:rPr>
                <w:rFonts w:ascii="Arial" w:eastAsia="Times New Roman" w:hAnsi="Arial" w:cs="Arial"/>
                <w:szCs w:val="24"/>
                <w:lang w:val="en-US" w:eastAsia="en-GB"/>
              </w:rPr>
            </w:pPr>
          </w:p>
        </w:tc>
      </w:tr>
      <w:tr w:rsidR="00BC7696" w:rsidRPr="00CE3CAD" w14:paraId="5FAFA429" w14:textId="77777777" w:rsidTr="007A1A3C">
        <w:tc>
          <w:tcPr>
            <w:tcW w:w="2267" w:type="dxa"/>
          </w:tcPr>
          <w:p w14:paraId="69B393AD" w14:textId="41C7533D" w:rsidR="00BC7696" w:rsidRPr="00CE3CAD" w:rsidRDefault="00E271F0" w:rsidP="007A1A3C">
            <w:pPr>
              <w:widowControl w:val="0"/>
              <w:autoSpaceDE w:val="0"/>
              <w:autoSpaceDN w:val="0"/>
              <w:spacing w:after="0" w:line="240" w:lineRule="auto"/>
              <w:rPr>
                <w:rFonts w:ascii="Arial" w:eastAsia="Times New Roman" w:hAnsi="Arial" w:cs="Arial"/>
                <w:lang w:val="en-US" w:eastAsia="en-GB"/>
              </w:rPr>
            </w:pPr>
            <w:r>
              <w:rPr>
                <w:rFonts w:ascii="Arial" w:eastAsia="Times New Roman" w:hAnsi="Arial" w:cs="Arial"/>
                <w:lang w:val="en-US" w:eastAsia="en-GB"/>
              </w:rPr>
              <w:t>ICB</w:t>
            </w:r>
            <w:r w:rsidR="00BC7696" w:rsidRPr="00CE3CAD">
              <w:rPr>
                <w:rFonts w:ascii="Arial" w:eastAsia="Times New Roman" w:hAnsi="Arial" w:cs="Arial"/>
                <w:lang w:val="en-US" w:eastAsia="en-GB"/>
              </w:rPr>
              <w:t xml:space="preserve"> document reference:</w:t>
            </w:r>
          </w:p>
        </w:tc>
        <w:tc>
          <w:tcPr>
            <w:tcW w:w="6664" w:type="dxa"/>
          </w:tcPr>
          <w:p w14:paraId="29353B53" w14:textId="77777777" w:rsidR="00BC7696" w:rsidRPr="00CE3CAD" w:rsidRDefault="00BC7696" w:rsidP="007A1A3C">
            <w:pPr>
              <w:widowControl w:val="0"/>
              <w:autoSpaceDE w:val="0"/>
              <w:autoSpaceDN w:val="0"/>
              <w:spacing w:after="0" w:line="240" w:lineRule="auto"/>
              <w:rPr>
                <w:rFonts w:ascii="Arial" w:eastAsia="Times New Roman" w:hAnsi="Arial" w:cs="Arial"/>
                <w:lang w:val="en-US" w:eastAsia="en-GB"/>
              </w:rPr>
            </w:pPr>
            <w:r w:rsidRPr="00CE3CAD">
              <w:rPr>
                <w:rFonts w:ascii="Arial" w:eastAsia="Times New Roman" w:hAnsi="Arial" w:cs="Arial"/>
                <w:lang w:val="en-US" w:eastAsia="en-GB"/>
              </w:rPr>
              <w:t>To be completed by the Board/Deputy Board Secretary</w:t>
            </w:r>
          </w:p>
          <w:p w14:paraId="7A31B312" w14:textId="77777777" w:rsidR="00BC7696" w:rsidRPr="00CE3CAD" w:rsidRDefault="00BC7696" w:rsidP="007A1A3C">
            <w:pPr>
              <w:widowControl w:val="0"/>
              <w:autoSpaceDE w:val="0"/>
              <w:autoSpaceDN w:val="0"/>
              <w:spacing w:after="0" w:line="240" w:lineRule="auto"/>
              <w:rPr>
                <w:rFonts w:ascii="Arial" w:eastAsia="Times New Roman" w:hAnsi="Arial" w:cs="Arial"/>
                <w:b/>
                <w:lang w:val="en-US" w:eastAsia="en-GB"/>
              </w:rPr>
            </w:pPr>
          </w:p>
        </w:tc>
      </w:tr>
      <w:tr w:rsidR="00BC7696" w:rsidRPr="00CE3CAD" w14:paraId="67A62A90" w14:textId="77777777" w:rsidTr="007A1A3C">
        <w:tc>
          <w:tcPr>
            <w:tcW w:w="2267" w:type="dxa"/>
          </w:tcPr>
          <w:p w14:paraId="7039A503" w14:textId="77777777" w:rsidR="00BC7696" w:rsidRPr="00CE3CAD" w:rsidRDefault="00BC7696" w:rsidP="007A1A3C">
            <w:pPr>
              <w:widowControl w:val="0"/>
              <w:autoSpaceDE w:val="0"/>
              <w:autoSpaceDN w:val="0"/>
              <w:spacing w:after="0" w:line="240" w:lineRule="auto"/>
              <w:rPr>
                <w:rFonts w:ascii="Arial" w:eastAsia="Times New Roman" w:hAnsi="Arial" w:cs="Arial"/>
                <w:lang w:val="en-US" w:eastAsia="en-GB"/>
              </w:rPr>
            </w:pPr>
            <w:r w:rsidRPr="00CE3CAD">
              <w:rPr>
                <w:rFonts w:ascii="Arial" w:eastAsia="Times New Roman" w:hAnsi="Arial" w:cs="Arial"/>
                <w:lang w:val="en-US" w:eastAsia="en-GB"/>
              </w:rPr>
              <w:t>Name of originator/author:</w:t>
            </w:r>
          </w:p>
          <w:p w14:paraId="6E7C6869" w14:textId="77777777" w:rsidR="00BC7696" w:rsidRPr="00CE3CAD" w:rsidRDefault="00BC7696" w:rsidP="007A1A3C">
            <w:pPr>
              <w:widowControl w:val="0"/>
              <w:autoSpaceDE w:val="0"/>
              <w:autoSpaceDN w:val="0"/>
              <w:spacing w:after="0" w:line="240" w:lineRule="auto"/>
              <w:rPr>
                <w:rFonts w:ascii="Arial" w:eastAsia="Times New Roman" w:hAnsi="Arial" w:cs="Arial"/>
                <w:lang w:val="en-US" w:eastAsia="en-GB"/>
              </w:rPr>
            </w:pPr>
          </w:p>
        </w:tc>
        <w:tc>
          <w:tcPr>
            <w:tcW w:w="6664" w:type="dxa"/>
          </w:tcPr>
          <w:p w14:paraId="35BE7BF5" w14:textId="6C936FBC" w:rsidR="00BC7696" w:rsidRPr="00CE3CAD" w:rsidRDefault="00BC7696" w:rsidP="007A1A3C">
            <w:pPr>
              <w:widowControl w:val="0"/>
              <w:tabs>
                <w:tab w:val="left" w:pos="3780"/>
              </w:tabs>
              <w:autoSpaceDE w:val="0"/>
              <w:autoSpaceDN w:val="0"/>
              <w:spacing w:after="0" w:line="240" w:lineRule="auto"/>
              <w:rPr>
                <w:rFonts w:ascii="Arial" w:eastAsia="Times New Roman" w:hAnsi="Arial" w:cs="Arial"/>
                <w:lang w:val="en-US" w:eastAsia="en-GB"/>
              </w:rPr>
            </w:pPr>
            <w:r w:rsidRPr="00CE3CAD">
              <w:rPr>
                <w:rFonts w:ascii="Arial" w:eastAsia="Times New Roman" w:hAnsi="Arial" w:cs="Arial"/>
                <w:lang w:val="en-US" w:eastAsia="en-GB"/>
              </w:rPr>
              <w:t xml:space="preserve">Tracey Pierce and Helen Sands </w:t>
            </w:r>
          </w:p>
        </w:tc>
      </w:tr>
      <w:tr w:rsidR="00BC7696" w:rsidRPr="00CE3CAD" w14:paraId="6F524931" w14:textId="77777777" w:rsidTr="007A1A3C">
        <w:trPr>
          <w:trHeight w:val="446"/>
        </w:trPr>
        <w:tc>
          <w:tcPr>
            <w:tcW w:w="2267" w:type="dxa"/>
          </w:tcPr>
          <w:p w14:paraId="6CBBB7DE" w14:textId="77777777" w:rsidR="00BC7696" w:rsidRPr="00CE3CAD" w:rsidRDefault="00BC7696" w:rsidP="007A1A3C">
            <w:pPr>
              <w:widowControl w:val="0"/>
              <w:autoSpaceDE w:val="0"/>
              <w:autoSpaceDN w:val="0"/>
              <w:spacing w:after="0" w:line="240" w:lineRule="auto"/>
              <w:rPr>
                <w:rFonts w:ascii="Arial" w:eastAsia="Times New Roman" w:hAnsi="Arial" w:cs="Arial"/>
                <w:lang w:val="en-US" w:eastAsia="en-GB"/>
              </w:rPr>
            </w:pPr>
            <w:r w:rsidRPr="00CE3CAD">
              <w:rPr>
                <w:rFonts w:ascii="Arial" w:eastAsia="Times New Roman" w:hAnsi="Arial" w:cs="Arial"/>
                <w:lang w:val="en-US" w:eastAsia="en-GB"/>
              </w:rPr>
              <w:t xml:space="preserve">Date of approval: </w:t>
            </w:r>
          </w:p>
        </w:tc>
        <w:tc>
          <w:tcPr>
            <w:tcW w:w="6664" w:type="dxa"/>
          </w:tcPr>
          <w:p w14:paraId="7889AC84" w14:textId="77777777" w:rsidR="00BC7696" w:rsidRPr="00CE3CAD" w:rsidRDefault="00BC7696" w:rsidP="007A1A3C">
            <w:pPr>
              <w:widowControl w:val="0"/>
              <w:autoSpaceDE w:val="0"/>
              <w:autoSpaceDN w:val="0"/>
              <w:spacing w:after="0" w:line="240" w:lineRule="auto"/>
              <w:rPr>
                <w:rFonts w:ascii="Arial" w:eastAsia="Times New Roman" w:hAnsi="Arial" w:cs="Arial"/>
                <w:lang w:val="en-US" w:eastAsia="en-GB"/>
              </w:rPr>
            </w:pPr>
          </w:p>
          <w:p w14:paraId="54AC414F" w14:textId="77777777" w:rsidR="00BC7696" w:rsidRPr="00CE3CAD" w:rsidRDefault="00BC7696" w:rsidP="007A1A3C">
            <w:pPr>
              <w:widowControl w:val="0"/>
              <w:autoSpaceDE w:val="0"/>
              <w:autoSpaceDN w:val="0"/>
              <w:spacing w:after="0" w:line="240" w:lineRule="auto"/>
              <w:rPr>
                <w:rFonts w:ascii="Arial" w:eastAsia="Times New Roman" w:hAnsi="Arial" w:cs="Arial"/>
                <w:highlight w:val="yellow"/>
                <w:lang w:val="en-US" w:eastAsia="en-GB"/>
              </w:rPr>
            </w:pPr>
          </w:p>
        </w:tc>
      </w:tr>
      <w:tr w:rsidR="00BC7696" w:rsidRPr="00CE3CAD" w14:paraId="058756F7" w14:textId="77777777" w:rsidTr="007A1A3C">
        <w:tc>
          <w:tcPr>
            <w:tcW w:w="2267" w:type="dxa"/>
          </w:tcPr>
          <w:p w14:paraId="42CEC04E" w14:textId="77777777" w:rsidR="00BC7696" w:rsidRPr="00CE3CAD" w:rsidRDefault="00BC7696" w:rsidP="007A1A3C">
            <w:pPr>
              <w:widowControl w:val="0"/>
              <w:autoSpaceDE w:val="0"/>
              <w:autoSpaceDN w:val="0"/>
              <w:spacing w:after="0" w:line="240" w:lineRule="auto"/>
              <w:rPr>
                <w:rFonts w:ascii="Arial" w:eastAsia="Times New Roman" w:hAnsi="Arial" w:cs="Arial"/>
                <w:lang w:val="en-US" w:eastAsia="en-GB"/>
              </w:rPr>
            </w:pPr>
            <w:r w:rsidRPr="00CE3CAD">
              <w:rPr>
                <w:rFonts w:ascii="Arial" w:eastAsia="Times New Roman" w:hAnsi="Arial" w:cs="Arial"/>
                <w:lang w:val="en-US" w:eastAsia="en-GB"/>
              </w:rPr>
              <w:t>Name of responsible Committee:</w:t>
            </w:r>
          </w:p>
        </w:tc>
        <w:tc>
          <w:tcPr>
            <w:tcW w:w="6664" w:type="dxa"/>
          </w:tcPr>
          <w:p w14:paraId="10B45292" w14:textId="63E82877" w:rsidR="00BC7696" w:rsidRPr="00CE3CAD" w:rsidRDefault="00BC7696" w:rsidP="007A1A3C">
            <w:pPr>
              <w:widowControl w:val="0"/>
              <w:autoSpaceDE w:val="0"/>
              <w:autoSpaceDN w:val="0"/>
              <w:spacing w:after="0" w:line="240" w:lineRule="auto"/>
              <w:rPr>
                <w:rFonts w:ascii="Arial" w:eastAsia="Times New Roman" w:hAnsi="Arial" w:cs="Arial"/>
                <w:lang w:val="en-US" w:eastAsia="en-GB"/>
              </w:rPr>
            </w:pPr>
            <w:r w:rsidRPr="00CE3CAD">
              <w:rPr>
                <w:rFonts w:ascii="Arial" w:eastAsia="Times New Roman" w:hAnsi="Arial" w:cs="Arial"/>
                <w:lang w:val="en-US" w:eastAsia="en-GB"/>
              </w:rPr>
              <w:t xml:space="preserve">Continuing Healthcare Program Board </w:t>
            </w:r>
          </w:p>
          <w:p w14:paraId="70D06388" w14:textId="77777777" w:rsidR="00BC7696" w:rsidRPr="00CE3CAD" w:rsidRDefault="00BC7696" w:rsidP="007A1A3C">
            <w:pPr>
              <w:widowControl w:val="0"/>
              <w:autoSpaceDE w:val="0"/>
              <w:autoSpaceDN w:val="0"/>
              <w:spacing w:after="0" w:line="240" w:lineRule="auto"/>
              <w:rPr>
                <w:rFonts w:ascii="Arial" w:eastAsia="Times New Roman" w:hAnsi="Arial" w:cs="Arial"/>
                <w:lang w:val="en-US" w:eastAsia="en-GB"/>
              </w:rPr>
            </w:pPr>
          </w:p>
        </w:tc>
      </w:tr>
      <w:tr w:rsidR="00BC7696" w:rsidRPr="00CE3CAD" w14:paraId="3BB32EFD" w14:textId="77777777" w:rsidTr="007A1A3C">
        <w:tc>
          <w:tcPr>
            <w:tcW w:w="2267" w:type="dxa"/>
          </w:tcPr>
          <w:p w14:paraId="341FED44" w14:textId="6E5A7BA1" w:rsidR="00BC7696" w:rsidRPr="00CE3CAD" w:rsidRDefault="00BC7696" w:rsidP="007A1A3C">
            <w:pPr>
              <w:widowControl w:val="0"/>
              <w:autoSpaceDE w:val="0"/>
              <w:autoSpaceDN w:val="0"/>
              <w:spacing w:after="0" w:line="240" w:lineRule="auto"/>
              <w:rPr>
                <w:rFonts w:ascii="Arial" w:eastAsia="Times New Roman" w:hAnsi="Arial" w:cs="Arial"/>
                <w:lang w:val="en-US" w:eastAsia="en-GB"/>
              </w:rPr>
            </w:pPr>
            <w:r w:rsidRPr="00CE3CAD">
              <w:rPr>
                <w:rFonts w:ascii="Arial" w:eastAsia="Times New Roman" w:hAnsi="Arial" w:cs="Arial"/>
                <w:lang w:val="en-US" w:eastAsia="en-GB"/>
              </w:rPr>
              <w:t>Responsible Director/</w:t>
            </w:r>
            <w:r w:rsidR="00E271F0">
              <w:rPr>
                <w:rFonts w:ascii="Arial" w:eastAsia="Times New Roman" w:hAnsi="Arial" w:cs="Arial"/>
                <w:lang w:val="en-US" w:eastAsia="en-GB"/>
              </w:rPr>
              <w:t>ICB</w:t>
            </w:r>
            <w:r w:rsidRPr="00CE3CAD">
              <w:rPr>
                <w:rFonts w:ascii="Arial" w:eastAsia="Times New Roman" w:hAnsi="Arial" w:cs="Arial"/>
                <w:lang w:val="en-US" w:eastAsia="en-GB"/>
              </w:rPr>
              <w:t xml:space="preserve"> Officer:</w:t>
            </w:r>
          </w:p>
          <w:p w14:paraId="47DE11A2" w14:textId="77777777" w:rsidR="00BC7696" w:rsidRPr="00CE3CAD" w:rsidRDefault="00BC7696" w:rsidP="007A1A3C">
            <w:pPr>
              <w:widowControl w:val="0"/>
              <w:autoSpaceDE w:val="0"/>
              <w:autoSpaceDN w:val="0"/>
              <w:spacing w:after="0" w:line="240" w:lineRule="auto"/>
              <w:rPr>
                <w:rFonts w:ascii="Arial" w:eastAsia="Times New Roman" w:hAnsi="Arial" w:cs="Arial"/>
                <w:lang w:val="en-US" w:eastAsia="en-GB"/>
              </w:rPr>
            </w:pPr>
          </w:p>
        </w:tc>
        <w:tc>
          <w:tcPr>
            <w:tcW w:w="6664" w:type="dxa"/>
          </w:tcPr>
          <w:p w14:paraId="50BAA211" w14:textId="77777777" w:rsidR="00BC7696" w:rsidRPr="00CE3CAD" w:rsidRDefault="005D639E" w:rsidP="007A1A3C">
            <w:pPr>
              <w:widowControl w:val="0"/>
              <w:autoSpaceDE w:val="0"/>
              <w:autoSpaceDN w:val="0"/>
              <w:spacing w:after="0" w:line="240" w:lineRule="auto"/>
              <w:rPr>
                <w:rFonts w:ascii="Arial" w:eastAsia="Times New Roman" w:hAnsi="Arial" w:cs="Arial"/>
                <w:lang w:val="en-US" w:eastAsia="en-GB"/>
              </w:rPr>
            </w:pPr>
            <w:r w:rsidRPr="00CE3CAD">
              <w:rPr>
                <w:rFonts w:ascii="Arial" w:eastAsia="Times New Roman" w:hAnsi="Arial" w:cs="Arial"/>
                <w:lang w:val="en-US" w:eastAsia="en-GB"/>
              </w:rPr>
              <w:t>Director of Nursing and Quality</w:t>
            </w:r>
          </w:p>
          <w:p w14:paraId="049AA4DC" w14:textId="45A63483" w:rsidR="005D639E" w:rsidRPr="00CE3CAD" w:rsidRDefault="005D639E" w:rsidP="007A1A3C">
            <w:pPr>
              <w:widowControl w:val="0"/>
              <w:autoSpaceDE w:val="0"/>
              <w:autoSpaceDN w:val="0"/>
              <w:spacing w:after="0" w:line="240" w:lineRule="auto"/>
              <w:rPr>
                <w:rFonts w:ascii="Arial" w:eastAsia="Times New Roman" w:hAnsi="Arial" w:cs="Arial"/>
                <w:lang w:val="en-US" w:eastAsia="en-GB"/>
              </w:rPr>
            </w:pPr>
            <w:r w:rsidRPr="00CE3CAD">
              <w:rPr>
                <w:rFonts w:ascii="Arial" w:eastAsia="Times New Roman" w:hAnsi="Arial" w:cs="Arial"/>
                <w:lang w:val="en-US" w:eastAsia="en-GB"/>
              </w:rPr>
              <w:t xml:space="preserve">Associate Director of Nursing and Quality </w:t>
            </w:r>
          </w:p>
        </w:tc>
      </w:tr>
      <w:tr w:rsidR="00BC7696" w:rsidRPr="00CE3CAD" w14:paraId="52B5604F" w14:textId="77777777" w:rsidTr="007A1A3C">
        <w:tc>
          <w:tcPr>
            <w:tcW w:w="2267" w:type="dxa"/>
          </w:tcPr>
          <w:p w14:paraId="641E7A0C" w14:textId="77777777" w:rsidR="00BC7696" w:rsidRPr="00CE3CAD" w:rsidRDefault="00BC7696" w:rsidP="007A1A3C">
            <w:pPr>
              <w:widowControl w:val="0"/>
              <w:autoSpaceDE w:val="0"/>
              <w:autoSpaceDN w:val="0"/>
              <w:spacing w:after="0" w:line="240" w:lineRule="auto"/>
              <w:rPr>
                <w:rFonts w:ascii="Arial" w:eastAsia="Times New Roman" w:hAnsi="Arial" w:cs="Arial"/>
                <w:lang w:val="en-US" w:eastAsia="en-GB"/>
              </w:rPr>
            </w:pPr>
            <w:r w:rsidRPr="00CE3CAD">
              <w:rPr>
                <w:rFonts w:ascii="Arial" w:eastAsia="Times New Roman" w:hAnsi="Arial" w:cs="Arial"/>
                <w:lang w:val="en-US" w:eastAsia="en-GB"/>
              </w:rPr>
              <w:t xml:space="preserve">Category: </w:t>
            </w:r>
          </w:p>
          <w:p w14:paraId="003D0BE9" w14:textId="77777777" w:rsidR="00BC7696" w:rsidRPr="00CE3CAD" w:rsidRDefault="00BC7696" w:rsidP="007A1A3C">
            <w:pPr>
              <w:widowControl w:val="0"/>
              <w:autoSpaceDE w:val="0"/>
              <w:autoSpaceDN w:val="0"/>
              <w:spacing w:after="0" w:line="240" w:lineRule="auto"/>
              <w:rPr>
                <w:rFonts w:ascii="Arial" w:eastAsia="Times New Roman" w:hAnsi="Arial" w:cs="Arial"/>
                <w:lang w:val="en-US" w:eastAsia="en-GB"/>
              </w:rPr>
            </w:pPr>
          </w:p>
        </w:tc>
        <w:tc>
          <w:tcPr>
            <w:tcW w:w="6664" w:type="dxa"/>
          </w:tcPr>
          <w:p w14:paraId="40FE8C30" w14:textId="77777777" w:rsidR="00BC7696" w:rsidRPr="00CE3CAD" w:rsidRDefault="00BC7696" w:rsidP="007A1A3C">
            <w:pPr>
              <w:widowControl w:val="0"/>
              <w:autoSpaceDE w:val="0"/>
              <w:autoSpaceDN w:val="0"/>
              <w:spacing w:after="0" w:line="240" w:lineRule="auto"/>
              <w:rPr>
                <w:rFonts w:ascii="Arial" w:eastAsia="Times New Roman" w:hAnsi="Arial" w:cs="Arial"/>
                <w:lang w:val="en-US" w:eastAsia="en-GB"/>
              </w:rPr>
            </w:pPr>
            <w:r w:rsidRPr="00CE3CAD">
              <w:rPr>
                <w:rFonts w:ascii="Arial" w:eastAsia="Times New Roman" w:hAnsi="Arial" w:cs="Arial"/>
                <w:lang w:val="en-US" w:eastAsia="en-GB"/>
              </w:rPr>
              <w:t>To be completed by the Board/Deputy Board Secretary</w:t>
            </w:r>
          </w:p>
          <w:p w14:paraId="0054DD2B" w14:textId="77777777" w:rsidR="00BC7696" w:rsidRPr="00CE3CAD" w:rsidRDefault="00BC7696" w:rsidP="007A1A3C">
            <w:pPr>
              <w:widowControl w:val="0"/>
              <w:autoSpaceDE w:val="0"/>
              <w:autoSpaceDN w:val="0"/>
              <w:spacing w:after="0" w:line="240" w:lineRule="auto"/>
              <w:rPr>
                <w:rFonts w:ascii="Arial" w:eastAsia="Times New Roman" w:hAnsi="Arial" w:cs="Arial"/>
                <w:b/>
                <w:lang w:val="en-US" w:eastAsia="en-GB"/>
              </w:rPr>
            </w:pPr>
          </w:p>
        </w:tc>
      </w:tr>
      <w:tr w:rsidR="00BC7696" w:rsidRPr="00CE3CAD" w14:paraId="49E74E4C" w14:textId="77777777" w:rsidTr="007A1A3C">
        <w:tc>
          <w:tcPr>
            <w:tcW w:w="2267" w:type="dxa"/>
          </w:tcPr>
          <w:p w14:paraId="133C9E8E" w14:textId="77777777" w:rsidR="00BC7696" w:rsidRPr="00CE3CAD" w:rsidRDefault="00BC7696" w:rsidP="007A1A3C">
            <w:pPr>
              <w:widowControl w:val="0"/>
              <w:autoSpaceDE w:val="0"/>
              <w:autoSpaceDN w:val="0"/>
              <w:spacing w:after="0" w:line="240" w:lineRule="auto"/>
              <w:rPr>
                <w:rFonts w:ascii="Arial" w:eastAsia="Times New Roman" w:hAnsi="Arial" w:cs="Arial"/>
                <w:lang w:val="en-US" w:eastAsia="en-GB"/>
              </w:rPr>
            </w:pPr>
            <w:r w:rsidRPr="00CE3CAD">
              <w:rPr>
                <w:rFonts w:ascii="Arial" w:eastAsia="Times New Roman" w:hAnsi="Arial" w:cs="Arial"/>
                <w:lang w:val="en-US" w:eastAsia="en-GB"/>
              </w:rPr>
              <w:t>EIA undertaken:</w:t>
            </w:r>
          </w:p>
          <w:p w14:paraId="179B6602" w14:textId="77777777" w:rsidR="00BC7696" w:rsidRPr="00CE3CAD" w:rsidRDefault="00BC7696" w:rsidP="007A1A3C">
            <w:pPr>
              <w:widowControl w:val="0"/>
              <w:autoSpaceDE w:val="0"/>
              <w:autoSpaceDN w:val="0"/>
              <w:spacing w:after="0" w:line="240" w:lineRule="auto"/>
              <w:rPr>
                <w:rFonts w:ascii="Arial" w:eastAsia="Times New Roman" w:hAnsi="Arial" w:cs="Arial"/>
                <w:lang w:val="en-US" w:eastAsia="en-GB"/>
              </w:rPr>
            </w:pPr>
          </w:p>
        </w:tc>
        <w:tc>
          <w:tcPr>
            <w:tcW w:w="6664" w:type="dxa"/>
          </w:tcPr>
          <w:p w14:paraId="3FA52BF3" w14:textId="77777777" w:rsidR="00BC7696" w:rsidRPr="00CE3CAD" w:rsidRDefault="00BC7696" w:rsidP="007A1A3C">
            <w:pPr>
              <w:widowControl w:val="0"/>
              <w:autoSpaceDE w:val="0"/>
              <w:autoSpaceDN w:val="0"/>
              <w:spacing w:after="0" w:line="240" w:lineRule="auto"/>
              <w:rPr>
                <w:rFonts w:ascii="Arial" w:eastAsia="Times New Roman" w:hAnsi="Arial" w:cs="Arial"/>
                <w:lang w:val="en-US" w:eastAsia="en-GB"/>
              </w:rPr>
            </w:pPr>
            <w:r w:rsidRPr="00CE3CAD">
              <w:rPr>
                <w:rFonts w:ascii="Arial" w:eastAsia="Times New Roman" w:hAnsi="Arial" w:cs="Arial"/>
                <w:lang w:val="en-US" w:eastAsia="en-GB"/>
              </w:rPr>
              <w:t xml:space="preserve">Yes </w:t>
            </w:r>
          </w:p>
          <w:p w14:paraId="3E93DF38" w14:textId="77777777" w:rsidR="00BC7696" w:rsidRPr="00CE3CAD" w:rsidRDefault="00BC7696" w:rsidP="007A1A3C">
            <w:pPr>
              <w:widowControl w:val="0"/>
              <w:autoSpaceDE w:val="0"/>
              <w:autoSpaceDN w:val="0"/>
              <w:spacing w:after="0" w:line="240" w:lineRule="auto"/>
              <w:rPr>
                <w:rFonts w:ascii="Arial" w:eastAsia="Times New Roman" w:hAnsi="Arial" w:cs="Arial"/>
                <w:lang w:val="en-US" w:eastAsia="en-GB"/>
              </w:rPr>
            </w:pPr>
          </w:p>
        </w:tc>
      </w:tr>
      <w:tr w:rsidR="00BC7696" w:rsidRPr="00CE3CAD" w14:paraId="2EADA8A5" w14:textId="77777777" w:rsidTr="007A1A3C">
        <w:tc>
          <w:tcPr>
            <w:tcW w:w="2267" w:type="dxa"/>
          </w:tcPr>
          <w:p w14:paraId="49B3831D" w14:textId="77777777" w:rsidR="00BC7696" w:rsidRPr="00CE3CAD" w:rsidRDefault="00BC7696" w:rsidP="007A1A3C">
            <w:pPr>
              <w:widowControl w:val="0"/>
              <w:autoSpaceDE w:val="0"/>
              <w:autoSpaceDN w:val="0"/>
              <w:spacing w:after="0" w:line="240" w:lineRule="auto"/>
              <w:rPr>
                <w:rFonts w:ascii="Arial" w:eastAsia="Times New Roman" w:hAnsi="Arial" w:cs="Arial"/>
                <w:lang w:val="en-US" w:eastAsia="en-GB"/>
              </w:rPr>
            </w:pPr>
            <w:r w:rsidRPr="00CE3CAD">
              <w:rPr>
                <w:rFonts w:ascii="Arial" w:eastAsia="Times New Roman" w:hAnsi="Arial" w:cs="Arial"/>
                <w:lang w:val="en-US" w:eastAsia="en-GB"/>
              </w:rPr>
              <w:t>Date issued:</w:t>
            </w:r>
          </w:p>
        </w:tc>
        <w:tc>
          <w:tcPr>
            <w:tcW w:w="6664" w:type="dxa"/>
          </w:tcPr>
          <w:p w14:paraId="06B9D0A5" w14:textId="77777777" w:rsidR="00BC7696" w:rsidRPr="00CE3CAD" w:rsidRDefault="00BC7696" w:rsidP="007A1A3C">
            <w:pPr>
              <w:widowControl w:val="0"/>
              <w:autoSpaceDE w:val="0"/>
              <w:autoSpaceDN w:val="0"/>
              <w:spacing w:after="0" w:line="240" w:lineRule="auto"/>
              <w:rPr>
                <w:rFonts w:ascii="Arial" w:eastAsia="Times New Roman" w:hAnsi="Arial" w:cs="Arial"/>
                <w:lang w:val="en-US" w:eastAsia="en-GB"/>
              </w:rPr>
            </w:pPr>
          </w:p>
          <w:p w14:paraId="21860D01" w14:textId="77777777" w:rsidR="00BC7696" w:rsidRPr="00CE3CAD" w:rsidRDefault="00BC7696" w:rsidP="007A1A3C">
            <w:pPr>
              <w:widowControl w:val="0"/>
              <w:autoSpaceDE w:val="0"/>
              <w:autoSpaceDN w:val="0"/>
              <w:spacing w:after="0" w:line="240" w:lineRule="auto"/>
              <w:rPr>
                <w:rFonts w:ascii="Arial" w:eastAsia="Times New Roman" w:hAnsi="Arial" w:cs="Arial"/>
                <w:lang w:val="en-US" w:eastAsia="en-GB"/>
              </w:rPr>
            </w:pPr>
          </w:p>
        </w:tc>
      </w:tr>
      <w:tr w:rsidR="00BC7696" w:rsidRPr="00CE3CAD" w14:paraId="0952819B" w14:textId="77777777" w:rsidTr="007A1A3C">
        <w:tc>
          <w:tcPr>
            <w:tcW w:w="2267" w:type="dxa"/>
          </w:tcPr>
          <w:p w14:paraId="572B8E24" w14:textId="77777777" w:rsidR="00BC7696" w:rsidRPr="00CE3CAD" w:rsidRDefault="00BC7696" w:rsidP="007A1A3C">
            <w:pPr>
              <w:widowControl w:val="0"/>
              <w:autoSpaceDE w:val="0"/>
              <w:autoSpaceDN w:val="0"/>
              <w:spacing w:after="0" w:line="240" w:lineRule="auto"/>
              <w:rPr>
                <w:rFonts w:ascii="Arial" w:eastAsia="Times New Roman" w:hAnsi="Arial" w:cs="Arial"/>
                <w:color w:val="FF0000"/>
                <w:lang w:val="en-US" w:eastAsia="en-GB"/>
              </w:rPr>
            </w:pPr>
            <w:r w:rsidRPr="00CE3CAD">
              <w:rPr>
                <w:rFonts w:ascii="Arial" w:eastAsia="Times New Roman" w:hAnsi="Arial" w:cs="Arial"/>
                <w:lang w:val="en-US" w:eastAsia="en-GB"/>
              </w:rPr>
              <w:t>Review date:</w:t>
            </w:r>
          </w:p>
        </w:tc>
        <w:tc>
          <w:tcPr>
            <w:tcW w:w="6664" w:type="dxa"/>
          </w:tcPr>
          <w:p w14:paraId="3CF8F0DE" w14:textId="77777777" w:rsidR="00BC7696" w:rsidRPr="00CE3CAD" w:rsidRDefault="00BC7696" w:rsidP="007A1A3C">
            <w:pPr>
              <w:widowControl w:val="0"/>
              <w:autoSpaceDE w:val="0"/>
              <w:autoSpaceDN w:val="0"/>
              <w:spacing w:after="0" w:line="240" w:lineRule="auto"/>
              <w:rPr>
                <w:rFonts w:ascii="Arial" w:eastAsia="Times New Roman" w:hAnsi="Arial" w:cs="Arial"/>
                <w:lang w:val="en-US" w:eastAsia="en-GB"/>
              </w:rPr>
            </w:pPr>
          </w:p>
          <w:p w14:paraId="353D3CCE" w14:textId="77777777" w:rsidR="00BC7696" w:rsidRPr="00CE3CAD" w:rsidRDefault="00BC7696" w:rsidP="007A1A3C">
            <w:pPr>
              <w:widowControl w:val="0"/>
              <w:autoSpaceDE w:val="0"/>
              <w:autoSpaceDN w:val="0"/>
              <w:spacing w:after="0" w:line="240" w:lineRule="auto"/>
              <w:rPr>
                <w:rFonts w:ascii="Arial" w:eastAsia="Times New Roman" w:hAnsi="Arial" w:cs="Arial"/>
                <w:lang w:val="en-US" w:eastAsia="en-GB"/>
              </w:rPr>
            </w:pPr>
          </w:p>
        </w:tc>
      </w:tr>
      <w:tr w:rsidR="00BC7696" w:rsidRPr="00CE3CAD" w14:paraId="0471BCD0" w14:textId="77777777" w:rsidTr="007A1A3C">
        <w:tc>
          <w:tcPr>
            <w:tcW w:w="2267" w:type="dxa"/>
          </w:tcPr>
          <w:p w14:paraId="3D42D7D3" w14:textId="77777777" w:rsidR="00BC7696" w:rsidRPr="00CE3CAD" w:rsidRDefault="00BC7696" w:rsidP="007A1A3C">
            <w:pPr>
              <w:widowControl w:val="0"/>
              <w:autoSpaceDE w:val="0"/>
              <w:autoSpaceDN w:val="0"/>
              <w:spacing w:after="0" w:line="240" w:lineRule="auto"/>
              <w:rPr>
                <w:rFonts w:ascii="Arial" w:eastAsia="Times New Roman" w:hAnsi="Arial" w:cs="Arial"/>
                <w:lang w:val="en-US" w:eastAsia="en-GB"/>
              </w:rPr>
            </w:pPr>
            <w:r w:rsidRPr="00CE3CAD">
              <w:rPr>
                <w:rFonts w:ascii="Arial" w:eastAsia="Times New Roman" w:hAnsi="Arial" w:cs="Arial"/>
                <w:lang w:val="en-US" w:eastAsia="en-GB"/>
              </w:rPr>
              <w:t>Target audience:</w:t>
            </w:r>
          </w:p>
          <w:p w14:paraId="485E7C30" w14:textId="77777777" w:rsidR="00BC7696" w:rsidRPr="00CE3CAD" w:rsidRDefault="00BC7696" w:rsidP="007A1A3C">
            <w:pPr>
              <w:widowControl w:val="0"/>
              <w:autoSpaceDE w:val="0"/>
              <w:autoSpaceDN w:val="0"/>
              <w:spacing w:after="0" w:line="240" w:lineRule="auto"/>
              <w:rPr>
                <w:rFonts w:ascii="Arial" w:eastAsia="Times New Roman" w:hAnsi="Arial" w:cs="Arial"/>
                <w:lang w:val="en-US" w:eastAsia="en-GB"/>
              </w:rPr>
            </w:pPr>
          </w:p>
        </w:tc>
        <w:tc>
          <w:tcPr>
            <w:tcW w:w="6664" w:type="dxa"/>
          </w:tcPr>
          <w:p w14:paraId="6BCF22AA" w14:textId="36A5D402" w:rsidR="00BC7696" w:rsidRPr="00CE3CAD" w:rsidRDefault="00BC7696" w:rsidP="007A1A3C">
            <w:pPr>
              <w:widowControl w:val="0"/>
              <w:autoSpaceDE w:val="0"/>
              <w:autoSpaceDN w:val="0"/>
              <w:spacing w:after="0" w:line="240" w:lineRule="auto"/>
              <w:rPr>
                <w:rFonts w:ascii="Arial" w:eastAsia="Times New Roman" w:hAnsi="Arial" w:cs="Arial"/>
                <w:lang w:val="en-US" w:eastAsia="en-GB"/>
              </w:rPr>
            </w:pPr>
            <w:r w:rsidRPr="00CE3CAD">
              <w:rPr>
                <w:rFonts w:ascii="Arial" w:eastAsia="Times New Roman" w:hAnsi="Arial" w:cs="Arial"/>
                <w:lang w:val="en-US" w:eastAsia="en-GB"/>
              </w:rPr>
              <w:t>Continuing Healthcare and Social Care Staff</w:t>
            </w:r>
          </w:p>
        </w:tc>
      </w:tr>
      <w:tr w:rsidR="00BC7696" w:rsidRPr="00CE3CAD" w14:paraId="1DBEFFEC" w14:textId="77777777" w:rsidTr="007A1A3C">
        <w:tc>
          <w:tcPr>
            <w:tcW w:w="2267" w:type="dxa"/>
          </w:tcPr>
          <w:p w14:paraId="1A651E27" w14:textId="77777777" w:rsidR="00BC7696" w:rsidRPr="00CE3CAD" w:rsidRDefault="00BC7696" w:rsidP="007A1A3C">
            <w:pPr>
              <w:widowControl w:val="0"/>
              <w:autoSpaceDE w:val="0"/>
              <w:autoSpaceDN w:val="0"/>
              <w:spacing w:after="0" w:line="240" w:lineRule="auto"/>
              <w:rPr>
                <w:rFonts w:ascii="Arial" w:eastAsia="Times New Roman" w:hAnsi="Arial" w:cs="Arial"/>
                <w:lang w:val="en-US" w:eastAsia="en-GB"/>
              </w:rPr>
            </w:pPr>
            <w:r w:rsidRPr="00CE3CAD">
              <w:rPr>
                <w:rFonts w:ascii="Arial" w:eastAsia="Times New Roman" w:hAnsi="Arial" w:cs="Arial"/>
                <w:lang w:val="en-US" w:eastAsia="en-GB"/>
              </w:rPr>
              <w:t>Distributed via:</w:t>
            </w:r>
          </w:p>
        </w:tc>
        <w:tc>
          <w:tcPr>
            <w:tcW w:w="6664" w:type="dxa"/>
          </w:tcPr>
          <w:p w14:paraId="3442868D" w14:textId="77777777" w:rsidR="00BC7696" w:rsidRPr="00CE3CAD" w:rsidRDefault="00BC7696" w:rsidP="007A1A3C">
            <w:pPr>
              <w:widowControl w:val="0"/>
              <w:autoSpaceDE w:val="0"/>
              <w:autoSpaceDN w:val="0"/>
              <w:spacing w:after="0" w:line="240" w:lineRule="auto"/>
              <w:rPr>
                <w:rFonts w:ascii="Arial" w:eastAsia="Times New Roman" w:hAnsi="Arial" w:cs="Arial"/>
                <w:lang w:val="en-US" w:eastAsia="en-GB"/>
              </w:rPr>
            </w:pPr>
            <w:r w:rsidRPr="00CE3CAD">
              <w:rPr>
                <w:rFonts w:ascii="Arial" w:eastAsia="Times New Roman" w:hAnsi="Arial" w:cs="Arial"/>
                <w:lang w:val="en-US" w:eastAsia="en-GB"/>
              </w:rPr>
              <w:t>Intranet and Internet</w:t>
            </w:r>
          </w:p>
          <w:p w14:paraId="77309487" w14:textId="77777777" w:rsidR="00BC7696" w:rsidRPr="00CE3CAD" w:rsidRDefault="00BC7696" w:rsidP="007A1A3C">
            <w:pPr>
              <w:widowControl w:val="0"/>
              <w:autoSpaceDE w:val="0"/>
              <w:autoSpaceDN w:val="0"/>
              <w:spacing w:after="0" w:line="240" w:lineRule="auto"/>
              <w:rPr>
                <w:rFonts w:ascii="Arial" w:eastAsia="Times New Roman" w:hAnsi="Arial" w:cs="Arial"/>
                <w:lang w:val="en-US" w:eastAsia="en-GB"/>
              </w:rPr>
            </w:pPr>
          </w:p>
        </w:tc>
      </w:tr>
    </w:tbl>
    <w:p w14:paraId="436CC465" w14:textId="77777777" w:rsidR="00BC7696" w:rsidRPr="00CE3CAD" w:rsidRDefault="00BC7696" w:rsidP="00BC7696">
      <w:pPr>
        <w:widowControl w:val="0"/>
        <w:autoSpaceDE w:val="0"/>
        <w:autoSpaceDN w:val="0"/>
        <w:spacing w:after="0" w:line="240" w:lineRule="auto"/>
        <w:rPr>
          <w:rFonts w:ascii="Arial" w:eastAsia="Arial" w:hAnsi="Arial" w:cs="Arial"/>
          <w:sz w:val="20"/>
          <w:szCs w:val="24"/>
          <w:lang w:val="en-US"/>
        </w:rPr>
      </w:pPr>
    </w:p>
    <w:p w14:paraId="3EB7315B" w14:textId="77777777" w:rsidR="00BC7696" w:rsidRPr="00CE3CAD" w:rsidRDefault="00BC7696" w:rsidP="00BC7696">
      <w:pPr>
        <w:widowControl w:val="0"/>
        <w:autoSpaceDE w:val="0"/>
        <w:autoSpaceDN w:val="0"/>
        <w:spacing w:after="0" w:line="240" w:lineRule="auto"/>
        <w:rPr>
          <w:rFonts w:ascii="Arial" w:eastAsia="Arial" w:hAnsi="Arial" w:cs="Arial"/>
          <w:sz w:val="20"/>
          <w:szCs w:val="24"/>
          <w:lang w:val="en-US"/>
        </w:rPr>
      </w:pPr>
    </w:p>
    <w:p w14:paraId="14ED41A9" w14:textId="77777777" w:rsidR="00BC7696" w:rsidRPr="00CE3CAD" w:rsidRDefault="00BC7696" w:rsidP="00BC7696">
      <w:pPr>
        <w:widowControl w:val="0"/>
        <w:autoSpaceDE w:val="0"/>
        <w:autoSpaceDN w:val="0"/>
        <w:spacing w:after="0" w:line="240" w:lineRule="auto"/>
        <w:rPr>
          <w:rFonts w:ascii="Arial" w:eastAsia="Arial" w:hAnsi="Arial" w:cs="Arial"/>
          <w:sz w:val="20"/>
          <w:szCs w:val="24"/>
          <w:lang w:val="en-US"/>
        </w:rPr>
      </w:pPr>
    </w:p>
    <w:p w14:paraId="6CFC9C73" w14:textId="77777777" w:rsidR="00BC7696" w:rsidRPr="00CE3CAD" w:rsidRDefault="00BC7696" w:rsidP="00BC7696">
      <w:pPr>
        <w:widowControl w:val="0"/>
        <w:autoSpaceDE w:val="0"/>
        <w:autoSpaceDN w:val="0"/>
        <w:spacing w:after="0" w:line="240" w:lineRule="auto"/>
        <w:rPr>
          <w:rFonts w:ascii="Arial" w:eastAsia="Arial" w:hAnsi="Arial" w:cs="Arial"/>
          <w:sz w:val="20"/>
          <w:szCs w:val="24"/>
          <w:lang w:val="en-US"/>
        </w:rPr>
      </w:pPr>
    </w:p>
    <w:p w14:paraId="320AE07D" w14:textId="77777777" w:rsidR="00BC7696" w:rsidRPr="00CE3CAD" w:rsidRDefault="00BC7696" w:rsidP="00BC7696">
      <w:pPr>
        <w:rPr>
          <w:rFonts w:ascii="Arial" w:eastAsia="Arial" w:hAnsi="Arial" w:cs="Arial"/>
          <w:b/>
          <w:sz w:val="20"/>
          <w:szCs w:val="24"/>
          <w:lang w:val="en-US"/>
        </w:rPr>
      </w:pPr>
      <w:r w:rsidRPr="00CE3CAD">
        <w:rPr>
          <w:rFonts w:ascii="Arial" w:eastAsia="Arial" w:hAnsi="Arial" w:cs="Arial"/>
          <w:b/>
          <w:sz w:val="20"/>
          <w:lang w:val="en-US"/>
        </w:rPr>
        <w:br w:type="page"/>
      </w:r>
    </w:p>
    <w:p w14:paraId="6652E6DC" w14:textId="77777777" w:rsidR="00BC7696" w:rsidRPr="00CE3CAD" w:rsidRDefault="00BC7696" w:rsidP="00BC7696">
      <w:pPr>
        <w:tabs>
          <w:tab w:val="right" w:leader="dot" w:pos="8302"/>
        </w:tabs>
        <w:spacing w:before="60" w:after="60" w:line="240" w:lineRule="auto"/>
        <w:ind w:right="505"/>
        <w:rPr>
          <w:rFonts w:ascii="Arial" w:eastAsia="Times New Roman" w:hAnsi="Arial" w:cs="Arial"/>
          <w:b/>
          <w:bCs/>
          <w:color w:val="4F81BD" w:themeColor="accent1"/>
          <w:sz w:val="36"/>
          <w:szCs w:val="36"/>
          <w:lang w:val="en-US"/>
        </w:rPr>
      </w:pPr>
      <w:r w:rsidRPr="00CE3CAD">
        <w:rPr>
          <w:rFonts w:ascii="Arial" w:eastAsia="Times New Roman" w:hAnsi="Arial" w:cs="Arial"/>
          <w:b/>
          <w:bCs/>
          <w:color w:val="4F81BD" w:themeColor="accent1"/>
          <w:sz w:val="36"/>
          <w:szCs w:val="36"/>
          <w:lang w:val="en-US"/>
        </w:rPr>
        <w:lastRenderedPageBreak/>
        <w:t>Document Control Sheet</w:t>
      </w:r>
    </w:p>
    <w:p w14:paraId="156F82C1" w14:textId="77777777" w:rsidR="00BC7696" w:rsidRPr="00CE3CAD" w:rsidRDefault="00BC7696" w:rsidP="00BC7696">
      <w:pPr>
        <w:tabs>
          <w:tab w:val="left" w:pos="720"/>
          <w:tab w:val="right" w:leader="dot" w:pos="8302"/>
        </w:tabs>
        <w:spacing w:before="60" w:after="60" w:line="240" w:lineRule="auto"/>
        <w:ind w:left="720" w:right="505" w:hanging="720"/>
        <w:rPr>
          <w:rFonts w:ascii="Arial" w:eastAsia="Times New Roman" w:hAnsi="Arial" w:cs="Arial"/>
          <w:bCs/>
          <w:color w:val="000090"/>
          <w:sz w:val="8"/>
          <w:szCs w:val="8"/>
          <w:lang w:val="en-US"/>
        </w:rPr>
      </w:pPr>
    </w:p>
    <w:tbl>
      <w:tblPr>
        <w:tblW w:w="4805" w:type="pct"/>
        <w:tblInd w:w="108"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ook w:val="0000" w:firstRow="0" w:lastRow="0" w:firstColumn="0" w:lastColumn="0" w:noHBand="0" w:noVBand="0"/>
      </w:tblPr>
      <w:tblGrid>
        <w:gridCol w:w="2314"/>
        <w:gridCol w:w="6782"/>
      </w:tblGrid>
      <w:tr w:rsidR="00BC7696" w:rsidRPr="00CE3CAD" w14:paraId="5A19C119" w14:textId="77777777" w:rsidTr="007A1A3C">
        <w:tc>
          <w:tcPr>
            <w:tcW w:w="1272" w:type="pct"/>
            <w:shd w:val="clear" w:color="auto" w:fill="auto"/>
          </w:tcPr>
          <w:p w14:paraId="71F7F11D" w14:textId="77777777" w:rsidR="00BC7696" w:rsidRPr="00CE3CAD" w:rsidRDefault="00BC7696" w:rsidP="007A1A3C">
            <w:pPr>
              <w:spacing w:before="39" w:after="39" w:line="240" w:lineRule="auto"/>
              <w:rPr>
                <w:rFonts w:ascii="Arial" w:hAnsi="Arial" w:cs="Arial"/>
                <w:sz w:val="20"/>
                <w:szCs w:val="20"/>
                <w:lang w:val="en-US"/>
              </w:rPr>
            </w:pPr>
            <w:r w:rsidRPr="00CE3CAD">
              <w:rPr>
                <w:rFonts w:ascii="Arial" w:hAnsi="Arial" w:cs="Arial"/>
                <w:sz w:val="20"/>
                <w:szCs w:val="20"/>
                <w:lang w:val="en-US"/>
              </w:rPr>
              <w:t>Document Title</w:t>
            </w:r>
          </w:p>
        </w:tc>
        <w:tc>
          <w:tcPr>
            <w:tcW w:w="3728" w:type="pct"/>
          </w:tcPr>
          <w:p w14:paraId="4FE9DEEB" w14:textId="2FA27D78" w:rsidR="00BC7696" w:rsidRPr="00CE3CAD" w:rsidRDefault="00A862B5" w:rsidP="007A1A3C">
            <w:pPr>
              <w:spacing w:before="39" w:after="39" w:line="240" w:lineRule="auto"/>
              <w:ind w:right="381"/>
              <w:rPr>
                <w:rFonts w:ascii="Arial" w:hAnsi="Arial" w:cs="Arial"/>
                <w:color w:val="000090"/>
                <w:lang w:val="en-US"/>
              </w:rPr>
            </w:pPr>
            <w:r w:rsidRPr="00CE3CAD">
              <w:rPr>
                <w:rFonts w:ascii="Arial" w:hAnsi="Arial" w:cs="Arial"/>
              </w:rPr>
              <w:t xml:space="preserve">Continuing Healthcare </w:t>
            </w:r>
            <w:r w:rsidR="00BC7696" w:rsidRPr="00CE3CAD">
              <w:rPr>
                <w:rFonts w:ascii="Arial" w:hAnsi="Arial" w:cs="Arial"/>
              </w:rPr>
              <w:t>Inter-Agency Dispute Policy</w:t>
            </w:r>
            <w:r w:rsidRPr="00CE3CAD">
              <w:rPr>
                <w:rFonts w:ascii="Arial" w:hAnsi="Arial" w:cs="Arial"/>
              </w:rPr>
              <w:t xml:space="preserve"> (Lincolnshire </w:t>
            </w:r>
            <w:r w:rsidR="00E271F0">
              <w:rPr>
                <w:rFonts w:ascii="Arial" w:hAnsi="Arial" w:cs="Arial"/>
              </w:rPr>
              <w:t>ICB</w:t>
            </w:r>
            <w:r w:rsidRPr="00CE3CAD">
              <w:rPr>
                <w:rFonts w:ascii="Arial" w:hAnsi="Arial" w:cs="Arial"/>
              </w:rPr>
              <w:t>)</w:t>
            </w:r>
          </w:p>
        </w:tc>
      </w:tr>
      <w:tr w:rsidR="00BC7696" w:rsidRPr="00CE3CAD" w14:paraId="6CAB5A6B" w14:textId="77777777" w:rsidTr="007A1A3C">
        <w:tc>
          <w:tcPr>
            <w:tcW w:w="1272" w:type="pct"/>
            <w:shd w:val="clear" w:color="auto" w:fill="005EB8"/>
          </w:tcPr>
          <w:p w14:paraId="2911D338" w14:textId="77777777" w:rsidR="00BC7696" w:rsidRPr="00CE3CAD" w:rsidRDefault="00BC7696" w:rsidP="007A1A3C">
            <w:pPr>
              <w:spacing w:before="39" w:after="39" w:line="240" w:lineRule="auto"/>
              <w:rPr>
                <w:rFonts w:ascii="Arial" w:hAnsi="Arial" w:cs="Arial"/>
                <w:sz w:val="20"/>
                <w:szCs w:val="20"/>
                <w:lang w:val="en-US"/>
              </w:rPr>
            </w:pPr>
            <w:r w:rsidRPr="00CE3CAD">
              <w:rPr>
                <w:rFonts w:ascii="Arial" w:hAnsi="Arial" w:cs="Arial"/>
                <w:color w:val="FFFFFF" w:themeColor="background1"/>
                <w:sz w:val="20"/>
                <w:szCs w:val="20"/>
                <w:lang w:val="en-US"/>
              </w:rPr>
              <w:t xml:space="preserve">Version </w:t>
            </w:r>
          </w:p>
        </w:tc>
        <w:tc>
          <w:tcPr>
            <w:tcW w:w="3728" w:type="pct"/>
          </w:tcPr>
          <w:p w14:paraId="2BE0DDD7" w14:textId="0263E227" w:rsidR="00BC7696" w:rsidRPr="00CE3CAD" w:rsidRDefault="00A115FB" w:rsidP="007A1A3C">
            <w:pPr>
              <w:spacing w:before="39" w:after="39" w:line="240" w:lineRule="auto"/>
              <w:ind w:right="381"/>
              <w:rPr>
                <w:rFonts w:ascii="Arial" w:hAnsi="Arial" w:cs="Arial"/>
                <w:color w:val="000090"/>
                <w:sz w:val="20"/>
                <w:szCs w:val="20"/>
                <w:lang w:val="en-US"/>
              </w:rPr>
            </w:pPr>
            <w:r w:rsidRPr="00CE3CAD">
              <w:rPr>
                <w:rFonts w:ascii="Arial" w:hAnsi="Arial" w:cs="Arial"/>
                <w:color w:val="000090"/>
                <w:sz w:val="20"/>
                <w:szCs w:val="20"/>
                <w:lang w:val="en-US"/>
              </w:rPr>
              <w:t>1.2</w:t>
            </w:r>
          </w:p>
        </w:tc>
      </w:tr>
      <w:tr w:rsidR="00BC7696" w:rsidRPr="00CE3CAD" w14:paraId="0AF5C0C8" w14:textId="77777777" w:rsidTr="007A1A3C">
        <w:tc>
          <w:tcPr>
            <w:tcW w:w="1272" w:type="pct"/>
            <w:shd w:val="clear" w:color="auto" w:fill="auto"/>
          </w:tcPr>
          <w:p w14:paraId="04B8A87F" w14:textId="77777777" w:rsidR="00BC7696" w:rsidRPr="00CE3CAD" w:rsidRDefault="00BC7696" w:rsidP="007A1A3C">
            <w:pPr>
              <w:spacing w:before="39" w:after="39" w:line="240" w:lineRule="auto"/>
              <w:rPr>
                <w:rFonts w:ascii="Arial" w:hAnsi="Arial" w:cs="Arial"/>
                <w:sz w:val="20"/>
                <w:szCs w:val="20"/>
                <w:lang w:val="en-US"/>
              </w:rPr>
            </w:pPr>
            <w:r w:rsidRPr="00CE3CAD">
              <w:rPr>
                <w:rFonts w:ascii="Arial" w:hAnsi="Arial" w:cs="Arial"/>
                <w:sz w:val="20"/>
                <w:szCs w:val="20"/>
                <w:lang w:val="en-US"/>
              </w:rPr>
              <w:t>Status</w:t>
            </w:r>
          </w:p>
        </w:tc>
        <w:tc>
          <w:tcPr>
            <w:tcW w:w="3728" w:type="pct"/>
          </w:tcPr>
          <w:p w14:paraId="3B24B9B9" w14:textId="77777777" w:rsidR="00BC7696" w:rsidRPr="00CE3CAD" w:rsidRDefault="00BC7696" w:rsidP="007A1A3C">
            <w:pPr>
              <w:spacing w:before="39" w:after="39" w:line="240" w:lineRule="auto"/>
              <w:ind w:right="381"/>
              <w:rPr>
                <w:rFonts w:ascii="Arial" w:hAnsi="Arial" w:cs="Arial"/>
                <w:color w:val="000090"/>
                <w:sz w:val="20"/>
                <w:szCs w:val="20"/>
                <w:lang w:val="en-US"/>
              </w:rPr>
            </w:pPr>
          </w:p>
        </w:tc>
      </w:tr>
      <w:tr w:rsidR="00BC7696" w:rsidRPr="00CE3CAD" w14:paraId="433D202B" w14:textId="77777777" w:rsidTr="007A1A3C">
        <w:tc>
          <w:tcPr>
            <w:tcW w:w="1272" w:type="pct"/>
            <w:shd w:val="clear" w:color="auto" w:fill="005EB8"/>
          </w:tcPr>
          <w:p w14:paraId="10F17294" w14:textId="77777777" w:rsidR="00BC7696" w:rsidRPr="00CE3CAD" w:rsidRDefault="00BC7696" w:rsidP="007A1A3C">
            <w:pPr>
              <w:spacing w:before="39" w:after="39" w:line="240" w:lineRule="auto"/>
              <w:rPr>
                <w:rFonts w:ascii="Arial" w:hAnsi="Arial" w:cs="Arial"/>
                <w:sz w:val="20"/>
                <w:szCs w:val="20"/>
                <w:lang w:val="en-US"/>
              </w:rPr>
            </w:pPr>
            <w:r w:rsidRPr="00CE3CAD">
              <w:rPr>
                <w:rFonts w:ascii="Arial" w:hAnsi="Arial" w:cs="Arial"/>
                <w:color w:val="FFFFFF" w:themeColor="background1"/>
                <w:sz w:val="20"/>
                <w:szCs w:val="20"/>
                <w:lang w:val="en-US"/>
              </w:rPr>
              <w:t>Authors</w:t>
            </w:r>
          </w:p>
        </w:tc>
        <w:tc>
          <w:tcPr>
            <w:tcW w:w="3728" w:type="pct"/>
          </w:tcPr>
          <w:p w14:paraId="19C55AE7" w14:textId="49AFEE7F" w:rsidR="00BC7696" w:rsidRPr="00CE3CAD" w:rsidRDefault="00BC7696" w:rsidP="007A1A3C">
            <w:pPr>
              <w:spacing w:before="39" w:after="39" w:line="240" w:lineRule="auto"/>
              <w:ind w:right="381"/>
              <w:rPr>
                <w:rFonts w:ascii="Arial" w:hAnsi="Arial" w:cs="Arial"/>
                <w:sz w:val="20"/>
                <w:szCs w:val="20"/>
                <w:lang w:val="en-US"/>
              </w:rPr>
            </w:pPr>
            <w:r w:rsidRPr="00CE3CAD">
              <w:rPr>
                <w:rFonts w:ascii="Arial" w:hAnsi="Arial" w:cs="Arial"/>
                <w:sz w:val="20"/>
                <w:szCs w:val="20"/>
                <w:lang w:val="en-US"/>
              </w:rPr>
              <w:t xml:space="preserve">Tracey Pierce and Helen Sands </w:t>
            </w:r>
          </w:p>
        </w:tc>
      </w:tr>
      <w:tr w:rsidR="00BC7696" w:rsidRPr="00CE3CAD" w14:paraId="4BBC826F" w14:textId="77777777" w:rsidTr="007A1A3C">
        <w:tc>
          <w:tcPr>
            <w:tcW w:w="1272" w:type="pct"/>
            <w:shd w:val="clear" w:color="auto" w:fill="auto"/>
          </w:tcPr>
          <w:p w14:paraId="1B07D9B4" w14:textId="77777777" w:rsidR="00BC7696" w:rsidRPr="00CE3CAD" w:rsidRDefault="00BC7696" w:rsidP="007A1A3C">
            <w:pPr>
              <w:spacing w:before="39" w:after="39" w:line="240" w:lineRule="auto"/>
              <w:rPr>
                <w:rFonts w:ascii="Arial" w:hAnsi="Arial" w:cs="Arial"/>
                <w:sz w:val="20"/>
                <w:szCs w:val="20"/>
                <w:lang w:val="en-US"/>
              </w:rPr>
            </w:pPr>
            <w:r w:rsidRPr="00CE3CAD">
              <w:rPr>
                <w:rFonts w:ascii="Arial" w:hAnsi="Arial" w:cs="Arial"/>
                <w:sz w:val="20"/>
                <w:szCs w:val="20"/>
                <w:lang w:val="en-US"/>
              </w:rPr>
              <w:t>Date</w:t>
            </w:r>
          </w:p>
        </w:tc>
        <w:tc>
          <w:tcPr>
            <w:tcW w:w="3728" w:type="pct"/>
          </w:tcPr>
          <w:p w14:paraId="17379E31" w14:textId="77777777" w:rsidR="00BC7696" w:rsidRPr="00CE3CAD" w:rsidRDefault="00BC7696" w:rsidP="007A1A3C">
            <w:pPr>
              <w:spacing w:before="39" w:after="39" w:line="240" w:lineRule="auto"/>
              <w:ind w:right="381"/>
              <w:rPr>
                <w:rFonts w:ascii="Arial" w:hAnsi="Arial" w:cs="Arial"/>
                <w:color w:val="000090"/>
                <w:sz w:val="20"/>
                <w:szCs w:val="20"/>
                <w:lang w:val="en-US"/>
              </w:rPr>
            </w:pPr>
          </w:p>
        </w:tc>
      </w:tr>
    </w:tbl>
    <w:p w14:paraId="19E4C4DA" w14:textId="77777777" w:rsidR="00BC7696" w:rsidRPr="00CE3CAD" w:rsidRDefault="00BC7696" w:rsidP="00BC7696">
      <w:pPr>
        <w:widowControl w:val="0"/>
        <w:spacing w:after="0" w:line="240" w:lineRule="auto"/>
        <w:rPr>
          <w:rFonts w:ascii="Arial" w:hAnsi="Arial" w:cs="Arial"/>
          <w:szCs w:val="20"/>
          <w:lang w:val="en-US"/>
        </w:rPr>
      </w:pPr>
    </w:p>
    <w:tbl>
      <w:tblPr>
        <w:tblW w:w="4805" w:type="pct"/>
        <w:tblInd w:w="108"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ook w:val="0000" w:firstRow="0" w:lastRow="0" w:firstColumn="0" w:lastColumn="0" w:noHBand="0" w:noVBand="0"/>
      </w:tblPr>
      <w:tblGrid>
        <w:gridCol w:w="1013"/>
        <w:gridCol w:w="2192"/>
        <w:gridCol w:w="2762"/>
        <w:gridCol w:w="3129"/>
      </w:tblGrid>
      <w:tr w:rsidR="00BC7696" w:rsidRPr="00CE3CAD" w14:paraId="2E23A86C" w14:textId="77777777" w:rsidTr="007A1A3C">
        <w:trPr>
          <w:cantSplit/>
        </w:trPr>
        <w:tc>
          <w:tcPr>
            <w:tcW w:w="5000" w:type="pct"/>
            <w:gridSpan w:val="4"/>
            <w:shd w:val="clear" w:color="auto" w:fill="005EB8"/>
          </w:tcPr>
          <w:p w14:paraId="7860A194" w14:textId="77777777" w:rsidR="00BC7696" w:rsidRPr="00CE3CAD" w:rsidRDefault="00BC7696" w:rsidP="007A1A3C">
            <w:pPr>
              <w:spacing w:before="39" w:after="39" w:line="240" w:lineRule="auto"/>
              <w:rPr>
                <w:rFonts w:ascii="Arial" w:hAnsi="Arial" w:cs="Arial"/>
                <w:b/>
                <w:sz w:val="20"/>
                <w:szCs w:val="20"/>
                <w:lang w:val="en-US"/>
              </w:rPr>
            </w:pPr>
            <w:r w:rsidRPr="00CE3CAD">
              <w:rPr>
                <w:rFonts w:ascii="Arial" w:hAnsi="Arial" w:cs="Arial"/>
                <w:b/>
                <w:color w:val="FFFFFF" w:themeColor="background1"/>
                <w:sz w:val="20"/>
                <w:szCs w:val="20"/>
                <w:lang w:val="en-US"/>
              </w:rPr>
              <w:t>Document history</w:t>
            </w:r>
          </w:p>
        </w:tc>
      </w:tr>
      <w:tr w:rsidR="00BC7696" w:rsidRPr="00CE3CAD" w14:paraId="5B8B5126" w14:textId="77777777" w:rsidTr="007A1A3C">
        <w:tc>
          <w:tcPr>
            <w:tcW w:w="557" w:type="pct"/>
            <w:shd w:val="clear" w:color="auto" w:fill="auto"/>
          </w:tcPr>
          <w:p w14:paraId="2901023D" w14:textId="77777777" w:rsidR="00BC7696" w:rsidRPr="00CE3CAD" w:rsidRDefault="00BC7696" w:rsidP="007A1A3C">
            <w:pPr>
              <w:spacing w:before="39" w:after="39" w:line="240" w:lineRule="auto"/>
              <w:rPr>
                <w:rFonts w:ascii="Arial" w:hAnsi="Arial" w:cs="Arial"/>
                <w:b/>
                <w:color w:val="005EB8"/>
                <w:sz w:val="20"/>
                <w:szCs w:val="20"/>
                <w:lang w:val="en-US"/>
              </w:rPr>
            </w:pPr>
            <w:r w:rsidRPr="00CE3CAD">
              <w:rPr>
                <w:rFonts w:ascii="Arial" w:hAnsi="Arial" w:cs="Arial"/>
                <w:b/>
                <w:color w:val="005EB8"/>
                <w:sz w:val="20"/>
                <w:szCs w:val="20"/>
                <w:lang w:val="en-US"/>
              </w:rPr>
              <w:t>Version</w:t>
            </w:r>
          </w:p>
        </w:tc>
        <w:tc>
          <w:tcPr>
            <w:tcW w:w="1205" w:type="pct"/>
            <w:shd w:val="clear" w:color="auto" w:fill="auto"/>
          </w:tcPr>
          <w:p w14:paraId="26BFB12F" w14:textId="77777777" w:rsidR="00BC7696" w:rsidRPr="00CE3CAD" w:rsidRDefault="00BC7696" w:rsidP="007A1A3C">
            <w:pPr>
              <w:spacing w:before="39" w:after="39" w:line="240" w:lineRule="auto"/>
              <w:rPr>
                <w:rFonts w:ascii="Arial" w:hAnsi="Arial" w:cs="Arial"/>
                <w:b/>
                <w:color w:val="005EB8"/>
                <w:sz w:val="20"/>
                <w:szCs w:val="20"/>
                <w:lang w:val="en-US"/>
              </w:rPr>
            </w:pPr>
            <w:r w:rsidRPr="00CE3CAD">
              <w:rPr>
                <w:rFonts w:ascii="Arial" w:hAnsi="Arial" w:cs="Arial"/>
                <w:b/>
                <w:color w:val="005EB8"/>
                <w:sz w:val="20"/>
                <w:szCs w:val="20"/>
                <w:lang w:val="en-US"/>
              </w:rPr>
              <w:t>Date</w:t>
            </w:r>
          </w:p>
        </w:tc>
        <w:tc>
          <w:tcPr>
            <w:tcW w:w="1518" w:type="pct"/>
            <w:shd w:val="clear" w:color="auto" w:fill="auto"/>
          </w:tcPr>
          <w:p w14:paraId="22FD1571" w14:textId="77777777" w:rsidR="00BC7696" w:rsidRPr="00CE3CAD" w:rsidRDefault="00BC7696" w:rsidP="007A1A3C">
            <w:pPr>
              <w:spacing w:before="39" w:after="39" w:line="240" w:lineRule="auto"/>
              <w:rPr>
                <w:rFonts w:ascii="Arial" w:hAnsi="Arial" w:cs="Arial"/>
                <w:b/>
                <w:color w:val="005EB8"/>
                <w:sz w:val="20"/>
                <w:szCs w:val="20"/>
                <w:lang w:val="en-US"/>
              </w:rPr>
            </w:pPr>
            <w:r w:rsidRPr="00CE3CAD">
              <w:rPr>
                <w:rFonts w:ascii="Arial" w:hAnsi="Arial" w:cs="Arial"/>
                <w:b/>
                <w:color w:val="005EB8"/>
                <w:sz w:val="20"/>
                <w:szCs w:val="20"/>
                <w:lang w:val="en-US"/>
              </w:rPr>
              <w:t>Author</w:t>
            </w:r>
          </w:p>
        </w:tc>
        <w:tc>
          <w:tcPr>
            <w:tcW w:w="1720" w:type="pct"/>
            <w:shd w:val="clear" w:color="auto" w:fill="auto"/>
          </w:tcPr>
          <w:p w14:paraId="622C60D2" w14:textId="77777777" w:rsidR="00BC7696" w:rsidRPr="00CE3CAD" w:rsidRDefault="00BC7696" w:rsidP="007A1A3C">
            <w:pPr>
              <w:spacing w:before="39" w:after="39" w:line="240" w:lineRule="auto"/>
              <w:rPr>
                <w:rFonts w:ascii="Arial" w:hAnsi="Arial" w:cs="Arial"/>
                <w:b/>
                <w:color w:val="005EB8"/>
                <w:sz w:val="20"/>
                <w:szCs w:val="20"/>
                <w:lang w:val="en-US"/>
              </w:rPr>
            </w:pPr>
            <w:r w:rsidRPr="00CE3CAD">
              <w:rPr>
                <w:rFonts w:ascii="Arial" w:hAnsi="Arial" w:cs="Arial"/>
                <w:b/>
                <w:color w:val="005EB8"/>
                <w:sz w:val="20"/>
                <w:szCs w:val="20"/>
                <w:lang w:val="en-US"/>
              </w:rPr>
              <w:t>Comments</w:t>
            </w:r>
          </w:p>
        </w:tc>
      </w:tr>
      <w:tr w:rsidR="00BC7696" w:rsidRPr="00CE3CAD" w14:paraId="5ED7CCD2" w14:textId="77777777" w:rsidTr="007A1A3C">
        <w:trPr>
          <w:trHeight w:val="402"/>
        </w:trPr>
        <w:tc>
          <w:tcPr>
            <w:tcW w:w="557" w:type="pct"/>
            <w:shd w:val="clear" w:color="auto" w:fill="auto"/>
          </w:tcPr>
          <w:p w14:paraId="0AB4F81F" w14:textId="77777777" w:rsidR="00BC7696" w:rsidRPr="00CE3CAD" w:rsidRDefault="00BC7696" w:rsidP="007A1A3C">
            <w:pPr>
              <w:spacing w:before="39" w:after="39" w:line="240" w:lineRule="auto"/>
              <w:rPr>
                <w:rFonts w:ascii="Arial" w:hAnsi="Arial" w:cs="Arial"/>
                <w:sz w:val="20"/>
                <w:szCs w:val="20"/>
                <w:lang w:val="en-US"/>
              </w:rPr>
            </w:pPr>
            <w:r w:rsidRPr="00CE3CAD">
              <w:rPr>
                <w:rFonts w:ascii="Arial" w:hAnsi="Arial" w:cs="Arial"/>
                <w:sz w:val="20"/>
                <w:szCs w:val="20"/>
                <w:lang w:val="en-US"/>
              </w:rPr>
              <w:t>1.0</w:t>
            </w:r>
          </w:p>
        </w:tc>
        <w:tc>
          <w:tcPr>
            <w:tcW w:w="1205" w:type="pct"/>
            <w:shd w:val="clear" w:color="auto" w:fill="auto"/>
          </w:tcPr>
          <w:p w14:paraId="5B9F8484" w14:textId="28BEB5B4" w:rsidR="00BC7696" w:rsidRPr="00CE3CAD" w:rsidRDefault="00BC7696" w:rsidP="007A1A3C">
            <w:pPr>
              <w:spacing w:before="39" w:after="39" w:line="240" w:lineRule="auto"/>
              <w:rPr>
                <w:rFonts w:ascii="Arial" w:hAnsi="Arial" w:cs="Arial"/>
                <w:sz w:val="20"/>
                <w:szCs w:val="20"/>
                <w:lang w:val="en-US"/>
              </w:rPr>
            </w:pPr>
            <w:r w:rsidRPr="00CE3CAD">
              <w:rPr>
                <w:rFonts w:ascii="Arial" w:hAnsi="Arial" w:cs="Arial"/>
                <w:sz w:val="20"/>
                <w:szCs w:val="20"/>
                <w:lang w:val="en-US"/>
              </w:rPr>
              <w:t>27/04/2021</w:t>
            </w:r>
          </w:p>
        </w:tc>
        <w:tc>
          <w:tcPr>
            <w:tcW w:w="1518" w:type="pct"/>
            <w:shd w:val="clear" w:color="auto" w:fill="auto"/>
          </w:tcPr>
          <w:p w14:paraId="59CEA182" w14:textId="77777777" w:rsidR="00BC7696" w:rsidRPr="00CE3CAD" w:rsidRDefault="00BC7696" w:rsidP="007A1A3C">
            <w:pPr>
              <w:spacing w:before="39" w:after="39" w:line="240" w:lineRule="auto"/>
              <w:rPr>
                <w:rFonts w:ascii="Arial" w:hAnsi="Arial" w:cs="Arial"/>
                <w:sz w:val="20"/>
                <w:szCs w:val="20"/>
                <w:lang w:val="en-US"/>
              </w:rPr>
            </w:pPr>
            <w:r w:rsidRPr="00CE3CAD">
              <w:rPr>
                <w:rFonts w:ascii="Arial" w:hAnsi="Arial" w:cs="Arial"/>
                <w:sz w:val="20"/>
                <w:szCs w:val="20"/>
                <w:lang w:val="en-US"/>
              </w:rPr>
              <w:t>Tracey Pierce</w:t>
            </w:r>
          </w:p>
          <w:p w14:paraId="4D9D8D02" w14:textId="77777777" w:rsidR="00BC7696" w:rsidRPr="00CE3CAD" w:rsidRDefault="00BC7696" w:rsidP="007A1A3C">
            <w:pPr>
              <w:spacing w:before="39" w:after="39" w:line="240" w:lineRule="auto"/>
              <w:rPr>
                <w:rFonts w:ascii="Arial" w:hAnsi="Arial" w:cs="Arial"/>
                <w:sz w:val="20"/>
                <w:szCs w:val="20"/>
                <w:lang w:val="en-US"/>
              </w:rPr>
            </w:pPr>
            <w:r w:rsidRPr="00CE3CAD">
              <w:rPr>
                <w:rFonts w:ascii="Arial" w:hAnsi="Arial" w:cs="Arial"/>
                <w:sz w:val="20"/>
                <w:szCs w:val="20"/>
                <w:lang w:val="en-US"/>
              </w:rPr>
              <w:t>Alison Hauton</w:t>
            </w:r>
          </w:p>
          <w:p w14:paraId="11ABB231" w14:textId="34181C8F" w:rsidR="00BC7696" w:rsidRPr="00CE3CAD" w:rsidRDefault="00BC7696" w:rsidP="007A1A3C">
            <w:pPr>
              <w:spacing w:before="39" w:after="39" w:line="240" w:lineRule="auto"/>
              <w:rPr>
                <w:rFonts w:ascii="Arial" w:hAnsi="Arial" w:cs="Arial"/>
                <w:sz w:val="20"/>
                <w:szCs w:val="20"/>
                <w:lang w:val="en-US"/>
              </w:rPr>
            </w:pPr>
            <w:r w:rsidRPr="00CE3CAD">
              <w:rPr>
                <w:rFonts w:ascii="Arial" w:hAnsi="Arial" w:cs="Arial"/>
                <w:sz w:val="20"/>
                <w:szCs w:val="20"/>
                <w:lang w:val="en-US"/>
              </w:rPr>
              <w:t>Amanda Towle</w:t>
            </w:r>
          </w:p>
        </w:tc>
        <w:tc>
          <w:tcPr>
            <w:tcW w:w="1720" w:type="pct"/>
            <w:shd w:val="clear" w:color="auto" w:fill="auto"/>
          </w:tcPr>
          <w:p w14:paraId="02DFCD68" w14:textId="77777777" w:rsidR="00BC7696" w:rsidRPr="00CE3CAD" w:rsidRDefault="00BC7696" w:rsidP="007A1A3C">
            <w:pPr>
              <w:spacing w:before="39" w:after="39" w:line="240" w:lineRule="auto"/>
              <w:rPr>
                <w:rFonts w:ascii="Arial" w:hAnsi="Arial" w:cs="Arial"/>
                <w:sz w:val="20"/>
                <w:szCs w:val="20"/>
                <w:lang w:val="en-US"/>
              </w:rPr>
            </w:pPr>
            <w:r w:rsidRPr="00CE3CAD">
              <w:rPr>
                <w:rFonts w:ascii="Arial" w:hAnsi="Arial" w:cs="Arial"/>
                <w:sz w:val="20"/>
                <w:szCs w:val="20"/>
                <w:lang w:val="en-US"/>
              </w:rPr>
              <w:t xml:space="preserve">First draft written </w:t>
            </w:r>
          </w:p>
        </w:tc>
      </w:tr>
      <w:tr w:rsidR="00BC7696" w:rsidRPr="00CE3CAD" w14:paraId="3D764C2A" w14:textId="77777777" w:rsidTr="007A1A3C">
        <w:tc>
          <w:tcPr>
            <w:tcW w:w="557" w:type="pct"/>
            <w:shd w:val="clear" w:color="auto" w:fill="auto"/>
          </w:tcPr>
          <w:p w14:paraId="17D97D6B" w14:textId="77777777" w:rsidR="00BC7696" w:rsidRPr="00CE3CAD" w:rsidRDefault="00BC7696" w:rsidP="007A1A3C">
            <w:pPr>
              <w:spacing w:before="39" w:after="39" w:line="240" w:lineRule="auto"/>
              <w:rPr>
                <w:rFonts w:ascii="Arial" w:hAnsi="Arial" w:cs="Arial"/>
                <w:sz w:val="20"/>
                <w:szCs w:val="20"/>
                <w:lang w:val="en-US"/>
              </w:rPr>
            </w:pPr>
            <w:r w:rsidRPr="00CE3CAD">
              <w:rPr>
                <w:rFonts w:ascii="Arial" w:hAnsi="Arial" w:cs="Arial"/>
                <w:sz w:val="20"/>
                <w:szCs w:val="20"/>
                <w:lang w:val="en-US"/>
              </w:rPr>
              <w:t>1.1</w:t>
            </w:r>
          </w:p>
        </w:tc>
        <w:tc>
          <w:tcPr>
            <w:tcW w:w="1205" w:type="pct"/>
            <w:shd w:val="clear" w:color="auto" w:fill="auto"/>
          </w:tcPr>
          <w:p w14:paraId="0DAD3649" w14:textId="30A6EB41" w:rsidR="00BC7696" w:rsidRPr="00CE3CAD" w:rsidRDefault="00BC7696" w:rsidP="007A1A3C">
            <w:pPr>
              <w:spacing w:before="39" w:after="39" w:line="240" w:lineRule="auto"/>
              <w:rPr>
                <w:rFonts w:ascii="Arial" w:hAnsi="Arial" w:cs="Arial"/>
                <w:sz w:val="20"/>
                <w:szCs w:val="20"/>
                <w:lang w:val="en-US"/>
              </w:rPr>
            </w:pPr>
            <w:r w:rsidRPr="00CE3CAD">
              <w:rPr>
                <w:rFonts w:ascii="Arial" w:hAnsi="Arial" w:cs="Arial"/>
                <w:sz w:val="20"/>
                <w:szCs w:val="20"/>
                <w:lang w:val="en-US"/>
              </w:rPr>
              <w:t>27/09/2021</w:t>
            </w:r>
          </w:p>
        </w:tc>
        <w:tc>
          <w:tcPr>
            <w:tcW w:w="1518" w:type="pct"/>
            <w:shd w:val="clear" w:color="auto" w:fill="auto"/>
          </w:tcPr>
          <w:p w14:paraId="69EF2E33" w14:textId="56484115" w:rsidR="00BC7696" w:rsidRPr="00CE3CAD" w:rsidRDefault="00BC7696" w:rsidP="007A1A3C">
            <w:pPr>
              <w:spacing w:before="39" w:after="39" w:line="240" w:lineRule="auto"/>
              <w:rPr>
                <w:rFonts w:ascii="Arial" w:hAnsi="Arial" w:cs="Arial"/>
                <w:sz w:val="20"/>
                <w:szCs w:val="20"/>
                <w:lang w:val="en-US"/>
              </w:rPr>
            </w:pPr>
            <w:r w:rsidRPr="00CE3CAD">
              <w:rPr>
                <w:rFonts w:ascii="Arial" w:hAnsi="Arial" w:cs="Arial"/>
                <w:sz w:val="20"/>
                <w:szCs w:val="20"/>
                <w:lang w:val="en-US"/>
              </w:rPr>
              <w:t>Tracey Pierce CHC</w:t>
            </w:r>
          </w:p>
          <w:p w14:paraId="27936BA5" w14:textId="7FBB8E0D" w:rsidR="00BC7696" w:rsidRPr="00CE3CAD" w:rsidRDefault="00BC7696" w:rsidP="007A1A3C">
            <w:pPr>
              <w:spacing w:before="39" w:after="39" w:line="240" w:lineRule="auto"/>
              <w:rPr>
                <w:rFonts w:ascii="Arial" w:hAnsi="Arial" w:cs="Arial"/>
                <w:sz w:val="20"/>
                <w:szCs w:val="20"/>
                <w:lang w:val="en-US"/>
              </w:rPr>
            </w:pPr>
            <w:r w:rsidRPr="00CE3CAD">
              <w:rPr>
                <w:rFonts w:ascii="Arial" w:hAnsi="Arial" w:cs="Arial"/>
                <w:sz w:val="20"/>
                <w:szCs w:val="20"/>
                <w:lang w:val="en-US"/>
              </w:rPr>
              <w:t>Helen Sands CHC</w:t>
            </w:r>
          </w:p>
          <w:p w14:paraId="4522A537" w14:textId="7AA9AA47" w:rsidR="00BC7696" w:rsidRPr="00CE3CAD" w:rsidRDefault="00BC7696" w:rsidP="007A1A3C">
            <w:pPr>
              <w:spacing w:before="39" w:after="39" w:line="240" w:lineRule="auto"/>
              <w:rPr>
                <w:rFonts w:ascii="Arial" w:hAnsi="Arial" w:cs="Arial"/>
                <w:sz w:val="20"/>
                <w:szCs w:val="20"/>
                <w:lang w:val="en-US"/>
              </w:rPr>
            </w:pPr>
            <w:r w:rsidRPr="00CE3CAD">
              <w:rPr>
                <w:rFonts w:ascii="Arial" w:hAnsi="Arial" w:cs="Arial"/>
                <w:sz w:val="20"/>
                <w:szCs w:val="20"/>
                <w:lang w:val="en-US"/>
              </w:rPr>
              <w:t>Gareth Everton ASC</w:t>
            </w:r>
          </w:p>
          <w:p w14:paraId="59F6580F" w14:textId="78E2D0BF" w:rsidR="00BC7696" w:rsidRPr="00CE3CAD" w:rsidRDefault="00BC7696" w:rsidP="007A1A3C">
            <w:pPr>
              <w:spacing w:before="39" w:after="39" w:line="240" w:lineRule="auto"/>
              <w:rPr>
                <w:rFonts w:ascii="Arial" w:hAnsi="Arial" w:cs="Arial"/>
                <w:sz w:val="20"/>
                <w:szCs w:val="20"/>
                <w:lang w:val="en-US"/>
              </w:rPr>
            </w:pPr>
            <w:r w:rsidRPr="00CE3CAD">
              <w:rPr>
                <w:rFonts w:ascii="Arial" w:hAnsi="Arial" w:cs="Arial"/>
                <w:sz w:val="20"/>
                <w:szCs w:val="20"/>
                <w:lang w:val="en-US"/>
              </w:rPr>
              <w:t>Alison Hauton ASC</w:t>
            </w:r>
          </w:p>
          <w:p w14:paraId="306F1E82" w14:textId="147A22F7" w:rsidR="00BC7696" w:rsidRPr="00CE3CAD" w:rsidRDefault="00BC7696" w:rsidP="007A1A3C">
            <w:pPr>
              <w:spacing w:before="39" w:after="39" w:line="240" w:lineRule="auto"/>
              <w:rPr>
                <w:rFonts w:ascii="Arial" w:hAnsi="Arial" w:cs="Arial"/>
                <w:sz w:val="20"/>
                <w:szCs w:val="20"/>
                <w:lang w:val="en-US"/>
              </w:rPr>
            </w:pPr>
            <w:r w:rsidRPr="00CE3CAD">
              <w:rPr>
                <w:rFonts w:ascii="Arial" w:hAnsi="Arial" w:cs="Arial"/>
                <w:sz w:val="20"/>
                <w:szCs w:val="20"/>
                <w:lang w:val="en-US"/>
              </w:rPr>
              <w:t>Sally Foston ASC</w:t>
            </w:r>
          </w:p>
          <w:p w14:paraId="49083BC7" w14:textId="5D955675" w:rsidR="00BC7696" w:rsidRPr="00CE3CAD" w:rsidRDefault="00BC7696" w:rsidP="007A1A3C">
            <w:pPr>
              <w:spacing w:before="39" w:after="39" w:line="240" w:lineRule="auto"/>
              <w:rPr>
                <w:rFonts w:ascii="Arial" w:hAnsi="Arial" w:cs="Arial"/>
                <w:sz w:val="20"/>
                <w:szCs w:val="20"/>
                <w:lang w:val="en-US"/>
              </w:rPr>
            </w:pPr>
          </w:p>
        </w:tc>
        <w:tc>
          <w:tcPr>
            <w:tcW w:w="1720" w:type="pct"/>
            <w:shd w:val="clear" w:color="auto" w:fill="auto"/>
          </w:tcPr>
          <w:p w14:paraId="5BEA100B" w14:textId="23B89144" w:rsidR="00BC7696" w:rsidRPr="00CE3CAD" w:rsidRDefault="00BC7696" w:rsidP="007A1A3C">
            <w:pPr>
              <w:spacing w:before="39" w:after="39" w:line="240" w:lineRule="auto"/>
              <w:rPr>
                <w:rFonts w:ascii="Arial" w:hAnsi="Arial" w:cs="Arial"/>
                <w:sz w:val="20"/>
                <w:szCs w:val="20"/>
                <w:lang w:val="en-US"/>
              </w:rPr>
            </w:pPr>
            <w:r w:rsidRPr="00CE3CAD">
              <w:rPr>
                <w:rFonts w:ascii="Arial" w:hAnsi="Arial" w:cs="Arial"/>
                <w:sz w:val="20"/>
                <w:szCs w:val="20"/>
                <w:lang w:val="en-US"/>
              </w:rPr>
              <w:t xml:space="preserve">Further consultation and comments added </w:t>
            </w:r>
          </w:p>
        </w:tc>
      </w:tr>
      <w:tr w:rsidR="00BC7696" w:rsidRPr="00CE3CAD" w14:paraId="646637B4" w14:textId="77777777" w:rsidTr="007A1A3C">
        <w:tc>
          <w:tcPr>
            <w:tcW w:w="557" w:type="pct"/>
            <w:tcBorders>
              <w:top w:val="single" w:sz="4" w:space="0" w:color="000090"/>
              <w:left w:val="single" w:sz="4" w:space="0" w:color="000090"/>
              <w:bottom w:val="single" w:sz="4" w:space="0" w:color="000090"/>
              <w:right w:val="single" w:sz="4" w:space="0" w:color="000090"/>
            </w:tcBorders>
            <w:shd w:val="clear" w:color="auto" w:fill="auto"/>
          </w:tcPr>
          <w:p w14:paraId="7E54BCBF" w14:textId="77777777" w:rsidR="00BC7696" w:rsidRPr="00CE3CAD" w:rsidRDefault="00BC7696" w:rsidP="007A1A3C">
            <w:pPr>
              <w:spacing w:before="39" w:after="39" w:line="240" w:lineRule="auto"/>
              <w:rPr>
                <w:rFonts w:ascii="Arial" w:hAnsi="Arial" w:cs="Arial"/>
                <w:sz w:val="20"/>
                <w:szCs w:val="20"/>
                <w:lang w:val="en-US"/>
              </w:rPr>
            </w:pPr>
            <w:r w:rsidRPr="00CE3CAD">
              <w:rPr>
                <w:rFonts w:ascii="Arial" w:hAnsi="Arial" w:cs="Arial"/>
                <w:sz w:val="20"/>
                <w:szCs w:val="20"/>
                <w:lang w:val="en-US"/>
              </w:rPr>
              <w:t>1.2</w:t>
            </w:r>
          </w:p>
        </w:tc>
        <w:tc>
          <w:tcPr>
            <w:tcW w:w="1205" w:type="pct"/>
            <w:tcBorders>
              <w:top w:val="single" w:sz="4" w:space="0" w:color="000090"/>
              <w:left w:val="single" w:sz="4" w:space="0" w:color="000090"/>
              <w:bottom w:val="single" w:sz="4" w:space="0" w:color="000090"/>
              <w:right w:val="single" w:sz="4" w:space="0" w:color="000090"/>
            </w:tcBorders>
            <w:shd w:val="clear" w:color="auto" w:fill="auto"/>
          </w:tcPr>
          <w:p w14:paraId="13D9F542" w14:textId="69B5A882" w:rsidR="00BC7696" w:rsidRPr="00CE3CAD" w:rsidRDefault="00BC7696" w:rsidP="007A1A3C">
            <w:pPr>
              <w:spacing w:before="39" w:after="39" w:line="240" w:lineRule="auto"/>
              <w:rPr>
                <w:rFonts w:ascii="Arial" w:hAnsi="Arial" w:cs="Arial"/>
                <w:sz w:val="20"/>
                <w:szCs w:val="20"/>
                <w:lang w:val="en-US"/>
              </w:rPr>
            </w:pPr>
            <w:r w:rsidRPr="00CE3CAD">
              <w:rPr>
                <w:rFonts w:ascii="Arial" w:hAnsi="Arial" w:cs="Arial"/>
                <w:sz w:val="20"/>
                <w:szCs w:val="20"/>
                <w:lang w:val="en-US"/>
              </w:rPr>
              <w:t>20/10/2021</w:t>
            </w:r>
          </w:p>
        </w:tc>
        <w:tc>
          <w:tcPr>
            <w:tcW w:w="1518" w:type="pct"/>
            <w:tcBorders>
              <w:top w:val="single" w:sz="4" w:space="0" w:color="000090"/>
              <w:left w:val="single" w:sz="4" w:space="0" w:color="000090"/>
              <w:bottom w:val="single" w:sz="4" w:space="0" w:color="000090"/>
              <w:right w:val="single" w:sz="4" w:space="0" w:color="000090"/>
            </w:tcBorders>
            <w:shd w:val="clear" w:color="auto" w:fill="auto"/>
          </w:tcPr>
          <w:p w14:paraId="2BA2A0D9" w14:textId="0D799EEF" w:rsidR="00BC7696" w:rsidRPr="00CE3CAD" w:rsidRDefault="00BC7696" w:rsidP="007A1A3C">
            <w:pPr>
              <w:spacing w:before="39" w:after="39" w:line="240" w:lineRule="auto"/>
              <w:rPr>
                <w:rFonts w:ascii="Arial" w:hAnsi="Arial" w:cs="Arial"/>
                <w:sz w:val="20"/>
                <w:szCs w:val="20"/>
                <w:lang w:val="en-US"/>
              </w:rPr>
            </w:pPr>
            <w:r w:rsidRPr="00CE3CAD">
              <w:rPr>
                <w:rFonts w:ascii="Arial" w:hAnsi="Arial" w:cs="Arial"/>
                <w:sz w:val="20"/>
                <w:szCs w:val="20"/>
                <w:lang w:val="en-US"/>
              </w:rPr>
              <w:t>Tracey Pierce</w:t>
            </w:r>
          </w:p>
        </w:tc>
        <w:tc>
          <w:tcPr>
            <w:tcW w:w="1720" w:type="pct"/>
            <w:tcBorders>
              <w:top w:val="single" w:sz="4" w:space="0" w:color="000090"/>
              <w:left w:val="single" w:sz="4" w:space="0" w:color="000090"/>
              <w:bottom w:val="single" w:sz="4" w:space="0" w:color="000090"/>
              <w:right w:val="single" w:sz="4" w:space="0" w:color="000090"/>
            </w:tcBorders>
            <w:shd w:val="clear" w:color="auto" w:fill="auto"/>
          </w:tcPr>
          <w:p w14:paraId="19015D55" w14:textId="77777777" w:rsidR="00BC7696" w:rsidRPr="00CE3CAD" w:rsidRDefault="00BC7696" w:rsidP="007A1A3C">
            <w:pPr>
              <w:spacing w:before="39" w:after="39" w:line="240" w:lineRule="auto"/>
              <w:rPr>
                <w:rFonts w:ascii="Arial" w:hAnsi="Arial" w:cs="Arial"/>
                <w:sz w:val="20"/>
                <w:szCs w:val="20"/>
                <w:lang w:val="en-US"/>
              </w:rPr>
            </w:pPr>
            <w:r w:rsidRPr="00CE3CAD">
              <w:rPr>
                <w:rFonts w:ascii="Arial" w:hAnsi="Arial" w:cs="Arial"/>
                <w:sz w:val="20"/>
                <w:szCs w:val="20"/>
                <w:lang w:val="en-US"/>
              </w:rPr>
              <w:t xml:space="preserve">Final Draft Written </w:t>
            </w:r>
          </w:p>
        </w:tc>
      </w:tr>
      <w:tr w:rsidR="00BC7696" w:rsidRPr="00CE3CAD" w14:paraId="402E224F" w14:textId="77777777" w:rsidTr="007A1A3C">
        <w:tc>
          <w:tcPr>
            <w:tcW w:w="557" w:type="pct"/>
            <w:tcBorders>
              <w:top w:val="single" w:sz="4" w:space="0" w:color="000090"/>
              <w:left w:val="single" w:sz="4" w:space="0" w:color="000090"/>
              <w:bottom w:val="single" w:sz="4" w:space="0" w:color="000090"/>
              <w:right w:val="single" w:sz="4" w:space="0" w:color="000090"/>
            </w:tcBorders>
            <w:shd w:val="clear" w:color="auto" w:fill="auto"/>
          </w:tcPr>
          <w:p w14:paraId="4073EC93" w14:textId="77777777" w:rsidR="00BC7696" w:rsidRPr="00CE3CAD" w:rsidRDefault="00BC7696" w:rsidP="007A1A3C">
            <w:pPr>
              <w:spacing w:before="39" w:after="39" w:line="240" w:lineRule="auto"/>
              <w:rPr>
                <w:rFonts w:ascii="Arial" w:hAnsi="Arial" w:cs="Arial"/>
                <w:sz w:val="20"/>
                <w:szCs w:val="20"/>
                <w:lang w:val="en-US"/>
              </w:rPr>
            </w:pPr>
          </w:p>
        </w:tc>
        <w:tc>
          <w:tcPr>
            <w:tcW w:w="1205" w:type="pct"/>
            <w:tcBorders>
              <w:top w:val="single" w:sz="4" w:space="0" w:color="000090"/>
              <w:left w:val="single" w:sz="4" w:space="0" w:color="000090"/>
              <w:bottom w:val="single" w:sz="4" w:space="0" w:color="000090"/>
              <w:right w:val="single" w:sz="4" w:space="0" w:color="000090"/>
            </w:tcBorders>
            <w:shd w:val="clear" w:color="auto" w:fill="auto"/>
          </w:tcPr>
          <w:p w14:paraId="3A47AABB" w14:textId="77777777" w:rsidR="00BC7696" w:rsidRPr="00CE3CAD" w:rsidRDefault="00BC7696" w:rsidP="007A1A3C">
            <w:pPr>
              <w:spacing w:before="39" w:after="39" w:line="240" w:lineRule="auto"/>
              <w:rPr>
                <w:rFonts w:ascii="Arial" w:hAnsi="Arial" w:cs="Arial"/>
                <w:sz w:val="20"/>
                <w:szCs w:val="20"/>
                <w:lang w:val="en-US"/>
              </w:rPr>
            </w:pPr>
          </w:p>
        </w:tc>
        <w:tc>
          <w:tcPr>
            <w:tcW w:w="1518" w:type="pct"/>
            <w:tcBorders>
              <w:top w:val="single" w:sz="4" w:space="0" w:color="000090"/>
              <w:left w:val="single" w:sz="4" w:space="0" w:color="000090"/>
              <w:bottom w:val="single" w:sz="4" w:space="0" w:color="000090"/>
              <w:right w:val="single" w:sz="4" w:space="0" w:color="000090"/>
            </w:tcBorders>
            <w:shd w:val="clear" w:color="auto" w:fill="auto"/>
          </w:tcPr>
          <w:p w14:paraId="6A6D8DEA" w14:textId="77777777" w:rsidR="00BC7696" w:rsidRPr="00CE3CAD" w:rsidRDefault="00BC7696" w:rsidP="007A1A3C">
            <w:pPr>
              <w:spacing w:before="39" w:after="39" w:line="240" w:lineRule="auto"/>
              <w:rPr>
                <w:rFonts w:ascii="Arial" w:hAnsi="Arial" w:cs="Arial"/>
                <w:sz w:val="20"/>
                <w:szCs w:val="20"/>
                <w:lang w:val="en-US"/>
              </w:rPr>
            </w:pPr>
          </w:p>
        </w:tc>
        <w:tc>
          <w:tcPr>
            <w:tcW w:w="1720" w:type="pct"/>
            <w:tcBorders>
              <w:top w:val="single" w:sz="4" w:space="0" w:color="000090"/>
              <w:left w:val="single" w:sz="4" w:space="0" w:color="000090"/>
              <w:bottom w:val="single" w:sz="4" w:space="0" w:color="000090"/>
              <w:right w:val="single" w:sz="4" w:space="0" w:color="000090"/>
            </w:tcBorders>
            <w:shd w:val="clear" w:color="auto" w:fill="auto"/>
          </w:tcPr>
          <w:p w14:paraId="07EA3CE0" w14:textId="77777777" w:rsidR="00BC7696" w:rsidRPr="00CE3CAD" w:rsidRDefault="00BC7696" w:rsidP="007A1A3C">
            <w:pPr>
              <w:spacing w:before="39" w:after="39" w:line="240" w:lineRule="auto"/>
              <w:rPr>
                <w:rFonts w:ascii="Arial" w:hAnsi="Arial" w:cs="Arial"/>
                <w:sz w:val="20"/>
                <w:szCs w:val="20"/>
                <w:lang w:val="en-US"/>
              </w:rPr>
            </w:pPr>
          </w:p>
        </w:tc>
      </w:tr>
    </w:tbl>
    <w:p w14:paraId="44E70EBC" w14:textId="77777777" w:rsidR="00BC7696" w:rsidRPr="00CE3CAD" w:rsidRDefault="00BC7696" w:rsidP="00BC7696">
      <w:pPr>
        <w:widowControl w:val="0"/>
        <w:autoSpaceDE w:val="0"/>
        <w:autoSpaceDN w:val="0"/>
        <w:spacing w:after="0" w:line="240" w:lineRule="auto"/>
        <w:rPr>
          <w:rFonts w:ascii="Arial" w:eastAsia="Arial" w:hAnsi="Arial" w:cs="Arial"/>
          <w:b/>
          <w:sz w:val="20"/>
          <w:szCs w:val="24"/>
          <w:lang w:val="en-US"/>
        </w:rPr>
      </w:pPr>
    </w:p>
    <w:p w14:paraId="6F2D1A8F" w14:textId="77777777" w:rsidR="00BC7696" w:rsidRPr="00CE3CAD" w:rsidRDefault="00BC7696" w:rsidP="00BC7696">
      <w:pPr>
        <w:rPr>
          <w:rFonts w:ascii="Arial" w:eastAsia="Arial" w:hAnsi="Arial" w:cs="Arial"/>
          <w:b/>
          <w:sz w:val="20"/>
          <w:szCs w:val="24"/>
          <w:lang w:val="en-US"/>
        </w:rPr>
      </w:pPr>
    </w:p>
    <w:p w14:paraId="3060DF1B" w14:textId="77777777" w:rsidR="00BC7696" w:rsidRPr="00CE3CAD" w:rsidRDefault="00BC7696" w:rsidP="00BC7696">
      <w:pPr>
        <w:rPr>
          <w:rFonts w:ascii="Arial" w:eastAsia="Arial" w:hAnsi="Arial" w:cs="Arial"/>
          <w:b/>
          <w:sz w:val="20"/>
          <w:szCs w:val="24"/>
          <w:lang w:val="en-US"/>
        </w:rPr>
      </w:pPr>
    </w:p>
    <w:p w14:paraId="0F5BCBBB" w14:textId="77777777" w:rsidR="00BC7696" w:rsidRPr="00CE3CAD" w:rsidRDefault="00BC7696" w:rsidP="00BC7696">
      <w:pPr>
        <w:spacing w:after="0"/>
        <w:rPr>
          <w:rFonts w:ascii="Arial" w:eastAsia="Times New Roman" w:hAnsi="Arial" w:cs="Arial"/>
          <w:b/>
          <w:bCs/>
          <w:color w:val="005EB8"/>
          <w:sz w:val="36"/>
          <w:szCs w:val="36"/>
          <w:lang w:val="en-US"/>
        </w:rPr>
      </w:pPr>
    </w:p>
    <w:p w14:paraId="4FA36BE5" w14:textId="77777777" w:rsidR="00BC7696" w:rsidRPr="00CE3CAD" w:rsidRDefault="00BC7696" w:rsidP="00BC7696">
      <w:pPr>
        <w:spacing w:after="0"/>
        <w:rPr>
          <w:rFonts w:ascii="Arial" w:eastAsia="Arial" w:hAnsi="Arial" w:cs="Arial"/>
          <w:lang w:val="en-US"/>
        </w:rPr>
      </w:pPr>
    </w:p>
    <w:p w14:paraId="1869297C" w14:textId="790E7C9B" w:rsidR="00BE1091" w:rsidRPr="00CE3CAD" w:rsidRDefault="00BE1091">
      <w:pPr>
        <w:rPr>
          <w:rFonts w:ascii="Arial" w:hAnsi="Arial" w:cs="Arial"/>
        </w:rPr>
      </w:pPr>
    </w:p>
    <w:p w14:paraId="3BCF5067" w14:textId="1B4C5045" w:rsidR="00BC7696" w:rsidRPr="00CE3CAD" w:rsidRDefault="00BC7696" w:rsidP="00BC7696">
      <w:pPr>
        <w:rPr>
          <w:rFonts w:ascii="Arial" w:hAnsi="Arial" w:cs="Arial"/>
        </w:rPr>
      </w:pPr>
    </w:p>
    <w:p w14:paraId="59B01A2B" w14:textId="53E8B8D0" w:rsidR="00BC7696" w:rsidRPr="00CE3CAD" w:rsidRDefault="00BC7696" w:rsidP="00BC7696">
      <w:pPr>
        <w:rPr>
          <w:rFonts w:ascii="Arial" w:hAnsi="Arial" w:cs="Arial"/>
        </w:rPr>
      </w:pPr>
    </w:p>
    <w:p w14:paraId="2206F18F" w14:textId="7F6DC74C" w:rsidR="00BC7696" w:rsidRPr="00CE3CAD" w:rsidRDefault="00BC7696" w:rsidP="00BC7696">
      <w:pPr>
        <w:rPr>
          <w:rFonts w:ascii="Arial" w:hAnsi="Arial" w:cs="Arial"/>
        </w:rPr>
      </w:pPr>
    </w:p>
    <w:p w14:paraId="3183B256" w14:textId="245D4D4F" w:rsidR="00BC7696" w:rsidRPr="00CE3CAD" w:rsidRDefault="00BC7696" w:rsidP="00BC7696">
      <w:pPr>
        <w:rPr>
          <w:rFonts w:ascii="Arial" w:hAnsi="Arial" w:cs="Arial"/>
        </w:rPr>
      </w:pPr>
    </w:p>
    <w:p w14:paraId="2A6B8ECA" w14:textId="7B51B2F8" w:rsidR="00BC7696" w:rsidRPr="00CE3CAD" w:rsidRDefault="00BC7696" w:rsidP="00BC7696">
      <w:pPr>
        <w:rPr>
          <w:rFonts w:ascii="Arial" w:hAnsi="Arial" w:cs="Arial"/>
        </w:rPr>
      </w:pPr>
    </w:p>
    <w:p w14:paraId="084BE143" w14:textId="620D82E8" w:rsidR="00BC7696" w:rsidRPr="00CE3CAD" w:rsidRDefault="00BC7696" w:rsidP="00BC7696">
      <w:pPr>
        <w:rPr>
          <w:rFonts w:ascii="Arial" w:hAnsi="Arial" w:cs="Arial"/>
        </w:rPr>
      </w:pPr>
    </w:p>
    <w:p w14:paraId="3B63E7A2" w14:textId="02B9F42B" w:rsidR="00BC7696" w:rsidRPr="00CE3CAD" w:rsidRDefault="00BC7696" w:rsidP="00BC7696">
      <w:pPr>
        <w:rPr>
          <w:rFonts w:ascii="Arial" w:hAnsi="Arial" w:cs="Arial"/>
        </w:rPr>
      </w:pPr>
    </w:p>
    <w:p w14:paraId="32D8BF95" w14:textId="403A862E" w:rsidR="00BC7696" w:rsidRPr="00CE3CAD" w:rsidRDefault="00BC7696" w:rsidP="00BC7696">
      <w:pPr>
        <w:rPr>
          <w:rFonts w:ascii="Arial" w:hAnsi="Arial" w:cs="Arial"/>
        </w:rPr>
      </w:pPr>
    </w:p>
    <w:p w14:paraId="203A7565" w14:textId="7DB65FA1" w:rsidR="00BC7696" w:rsidRPr="00CE3CAD" w:rsidRDefault="00BC7696" w:rsidP="00BC7696">
      <w:pPr>
        <w:rPr>
          <w:rFonts w:ascii="Arial" w:hAnsi="Arial" w:cs="Arial"/>
        </w:rPr>
      </w:pPr>
    </w:p>
    <w:p w14:paraId="587FAFAE" w14:textId="35837A5B" w:rsidR="00BC7696" w:rsidRPr="00CE3CAD" w:rsidRDefault="00BC7696" w:rsidP="00BC7696">
      <w:pPr>
        <w:rPr>
          <w:rFonts w:ascii="Arial" w:hAnsi="Arial" w:cs="Arial"/>
        </w:rPr>
      </w:pPr>
    </w:p>
    <w:p w14:paraId="685C03CB" w14:textId="77777777" w:rsidR="00BC7696" w:rsidRPr="00CE3CAD" w:rsidRDefault="00BC7696" w:rsidP="00BC7696">
      <w:pPr>
        <w:pStyle w:val="Heading1"/>
        <w:spacing w:before="0" w:after="120"/>
        <w:rPr>
          <w:rFonts w:ascii="Arial" w:hAnsi="Arial" w:cs="Arial"/>
          <w:color w:val="0070C0"/>
        </w:rPr>
      </w:pPr>
    </w:p>
    <w:p w14:paraId="2D0A6355" w14:textId="77777777" w:rsidR="00BC7696" w:rsidRPr="00CE3CAD" w:rsidRDefault="00BC7696" w:rsidP="00BC7696">
      <w:pPr>
        <w:pStyle w:val="Heading1"/>
        <w:spacing w:before="0" w:after="120"/>
        <w:jc w:val="center"/>
        <w:rPr>
          <w:rFonts w:ascii="Arial" w:hAnsi="Arial" w:cs="Arial"/>
          <w:color w:val="4F81BD" w:themeColor="accent1"/>
        </w:rPr>
      </w:pPr>
      <w:r w:rsidRPr="00CE3CAD">
        <w:rPr>
          <w:rFonts w:ascii="Arial" w:hAnsi="Arial" w:cs="Arial"/>
          <w:color w:val="4F81BD" w:themeColor="accent1"/>
        </w:rPr>
        <w:t>CONTENTS</w:t>
      </w:r>
    </w:p>
    <w:p w14:paraId="02916C87" w14:textId="6D25073B" w:rsidR="00BC7696" w:rsidRPr="00CE3CAD" w:rsidRDefault="00D60A18" w:rsidP="00BC7696">
      <w:pPr>
        <w:rPr>
          <w:rFonts w:ascii="Arial" w:hAnsi="Arial" w:cs="Arial"/>
          <w:sz w:val="28"/>
          <w:szCs w:val="28"/>
        </w:rPr>
      </w:pP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t>Page</w:t>
      </w:r>
    </w:p>
    <w:p w14:paraId="7FCD618C" w14:textId="79AA0D33" w:rsidR="00D60A18" w:rsidRPr="00CE3CAD" w:rsidRDefault="00D60A18" w:rsidP="00D60A18">
      <w:pPr>
        <w:rPr>
          <w:rFonts w:ascii="Arial" w:hAnsi="Arial" w:cs="Arial"/>
          <w:sz w:val="28"/>
          <w:szCs w:val="28"/>
        </w:rPr>
      </w:pPr>
      <w:r w:rsidRPr="00CE3CAD">
        <w:rPr>
          <w:rFonts w:ascii="Arial" w:hAnsi="Arial" w:cs="Arial"/>
          <w:sz w:val="28"/>
          <w:szCs w:val="28"/>
        </w:rPr>
        <w:t xml:space="preserve">1.0 </w:t>
      </w:r>
      <w:r w:rsidRPr="00CE3CAD">
        <w:rPr>
          <w:rFonts w:ascii="Arial" w:hAnsi="Arial" w:cs="Arial"/>
          <w:sz w:val="28"/>
          <w:szCs w:val="28"/>
        </w:rPr>
        <w:tab/>
        <w:t>Introduction</w:t>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t>4</w:t>
      </w:r>
    </w:p>
    <w:p w14:paraId="0502B3A5" w14:textId="3CB18AEC" w:rsidR="00D60A18" w:rsidRPr="00CE3CAD" w:rsidRDefault="00D60A18" w:rsidP="00D60A18">
      <w:pPr>
        <w:rPr>
          <w:rFonts w:ascii="Arial" w:hAnsi="Arial" w:cs="Arial"/>
          <w:sz w:val="28"/>
          <w:szCs w:val="28"/>
        </w:rPr>
      </w:pPr>
      <w:r w:rsidRPr="00CE3CAD">
        <w:rPr>
          <w:rFonts w:ascii="Arial" w:hAnsi="Arial" w:cs="Arial"/>
          <w:sz w:val="28"/>
          <w:szCs w:val="28"/>
        </w:rPr>
        <w:t>2.0</w:t>
      </w:r>
      <w:r w:rsidRPr="00CE3CAD">
        <w:rPr>
          <w:rFonts w:ascii="Arial" w:hAnsi="Arial" w:cs="Arial"/>
          <w:sz w:val="28"/>
          <w:szCs w:val="28"/>
        </w:rPr>
        <w:tab/>
        <w:t>Purpose and Remit</w:t>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t>4</w:t>
      </w:r>
    </w:p>
    <w:p w14:paraId="5C3EF722" w14:textId="022B669D" w:rsidR="00D60A18" w:rsidRPr="00CE3CAD" w:rsidRDefault="00D60A18" w:rsidP="00D60A18">
      <w:pPr>
        <w:rPr>
          <w:rFonts w:ascii="Arial" w:hAnsi="Arial" w:cs="Arial"/>
          <w:sz w:val="28"/>
          <w:szCs w:val="28"/>
        </w:rPr>
      </w:pPr>
      <w:r w:rsidRPr="00CE3CAD">
        <w:rPr>
          <w:rFonts w:ascii="Arial" w:hAnsi="Arial" w:cs="Arial"/>
          <w:sz w:val="28"/>
          <w:szCs w:val="28"/>
        </w:rPr>
        <w:t>3.0</w:t>
      </w:r>
      <w:r w:rsidRPr="00CE3CAD">
        <w:rPr>
          <w:rFonts w:ascii="Arial" w:hAnsi="Arial" w:cs="Arial"/>
          <w:sz w:val="28"/>
          <w:szCs w:val="28"/>
        </w:rPr>
        <w:tab/>
        <w:t>Interim Care Provision</w:t>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00516580" w:rsidRPr="00CE3CAD">
        <w:rPr>
          <w:rFonts w:ascii="Arial" w:hAnsi="Arial" w:cs="Arial"/>
          <w:sz w:val="28"/>
          <w:szCs w:val="28"/>
        </w:rPr>
        <w:t>6</w:t>
      </w:r>
    </w:p>
    <w:p w14:paraId="69FA53E9" w14:textId="560C5792" w:rsidR="00516580" w:rsidRPr="00CE3CAD" w:rsidRDefault="00516580" w:rsidP="00D60A18">
      <w:pPr>
        <w:rPr>
          <w:rFonts w:ascii="Arial" w:hAnsi="Arial" w:cs="Arial"/>
          <w:sz w:val="28"/>
          <w:szCs w:val="28"/>
        </w:rPr>
      </w:pPr>
      <w:r w:rsidRPr="00CE3CAD">
        <w:rPr>
          <w:rFonts w:ascii="Arial" w:hAnsi="Arial" w:cs="Arial"/>
          <w:sz w:val="28"/>
          <w:szCs w:val="28"/>
        </w:rPr>
        <w:t>4.0</w:t>
      </w:r>
      <w:r w:rsidRPr="00CE3CAD">
        <w:rPr>
          <w:rFonts w:ascii="Arial" w:hAnsi="Arial" w:cs="Arial"/>
          <w:sz w:val="28"/>
          <w:szCs w:val="28"/>
        </w:rPr>
        <w:tab/>
        <w:t>Eligibility Dispute Process</w:t>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t>7</w:t>
      </w:r>
    </w:p>
    <w:p w14:paraId="1F676F37" w14:textId="0BC960CE" w:rsidR="00DE0F46" w:rsidRPr="00CE3CAD" w:rsidRDefault="00516580" w:rsidP="00D60A18">
      <w:pPr>
        <w:rPr>
          <w:rFonts w:ascii="Arial" w:hAnsi="Arial" w:cs="Arial"/>
          <w:sz w:val="28"/>
          <w:szCs w:val="28"/>
        </w:rPr>
      </w:pPr>
      <w:r w:rsidRPr="00CE3CAD">
        <w:rPr>
          <w:rFonts w:ascii="Arial" w:hAnsi="Arial" w:cs="Arial"/>
          <w:sz w:val="28"/>
          <w:szCs w:val="28"/>
        </w:rPr>
        <w:t>5.0</w:t>
      </w:r>
      <w:r w:rsidRPr="00CE3CAD">
        <w:rPr>
          <w:rFonts w:ascii="Arial" w:hAnsi="Arial" w:cs="Arial"/>
          <w:sz w:val="28"/>
          <w:szCs w:val="28"/>
        </w:rPr>
        <w:tab/>
        <w:t>Formal Dispute Process</w:t>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t>9</w:t>
      </w:r>
    </w:p>
    <w:p w14:paraId="25C875E7" w14:textId="47937B4E" w:rsidR="00DE0F46" w:rsidRPr="00CE3CAD" w:rsidRDefault="00DE0F46" w:rsidP="00D60A18">
      <w:pPr>
        <w:rPr>
          <w:rFonts w:ascii="Arial" w:hAnsi="Arial" w:cs="Arial"/>
          <w:sz w:val="28"/>
          <w:szCs w:val="28"/>
        </w:rPr>
      </w:pPr>
      <w:r w:rsidRPr="00CE3CAD">
        <w:rPr>
          <w:rFonts w:ascii="Arial" w:hAnsi="Arial" w:cs="Arial"/>
          <w:sz w:val="28"/>
          <w:szCs w:val="28"/>
        </w:rPr>
        <w:t>6.0</w:t>
      </w:r>
      <w:r w:rsidRPr="00CE3CAD">
        <w:rPr>
          <w:rFonts w:ascii="Arial" w:hAnsi="Arial" w:cs="Arial"/>
          <w:sz w:val="28"/>
          <w:szCs w:val="28"/>
        </w:rPr>
        <w:tab/>
        <w:t>Joint Fund Dispute</w:t>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t>10</w:t>
      </w:r>
    </w:p>
    <w:p w14:paraId="537F7EAB" w14:textId="77777777" w:rsidR="00DE0F46" w:rsidRPr="00CE3CAD" w:rsidRDefault="00DE0F46" w:rsidP="00D60A18">
      <w:pPr>
        <w:rPr>
          <w:rFonts w:ascii="Arial" w:hAnsi="Arial" w:cs="Arial"/>
          <w:sz w:val="28"/>
          <w:szCs w:val="28"/>
        </w:rPr>
      </w:pPr>
      <w:r w:rsidRPr="00CE3CAD">
        <w:rPr>
          <w:rFonts w:ascii="Arial" w:hAnsi="Arial" w:cs="Arial"/>
          <w:sz w:val="28"/>
          <w:szCs w:val="28"/>
        </w:rPr>
        <w:t>7.0</w:t>
      </w:r>
      <w:r w:rsidRPr="00CE3CAD">
        <w:rPr>
          <w:rFonts w:ascii="Arial" w:hAnsi="Arial" w:cs="Arial"/>
          <w:sz w:val="28"/>
          <w:szCs w:val="28"/>
        </w:rPr>
        <w:tab/>
        <w:t>Monitoring and Review</w:t>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t>11</w:t>
      </w:r>
    </w:p>
    <w:p w14:paraId="2EC6DE1C" w14:textId="7FEE2936" w:rsidR="00DE0F46" w:rsidRPr="00CE3CAD" w:rsidRDefault="00DE0F46" w:rsidP="00D60A18">
      <w:pPr>
        <w:rPr>
          <w:rFonts w:ascii="Arial" w:hAnsi="Arial" w:cs="Arial"/>
          <w:sz w:val="28"/>
          <w:szCs w:val="28"/>
        </w:rPr>
      </w:pPr>
      <w:r w:rsidRPr="00CE3CAD">
        <w:rPr>
          <w:rFonts w:ascii="Arial" w:hAnsi="Arial" w:cs="Arial"/>
          <w:sz w:val="28"/>
          <w:szCs w:val="28"/>
        </w:rPr>
        <w:t>8.0</w:t>
      </w:r>
      <w:r w:rsidRPr="00CE3CAD">
        <w:rPr>
          <w:rFonts w:ascii="Arial" w:hAnsi="Arial" w:cs="Arial"/>
          <w:sz w:val="28"/>
          <w:szCs w:val="28"/>
        </w:rPr>
        <w:tab/>
        <w:t>Reimbursement Process</w:t>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t>11</w:t>
      </w:r>
    </w:p>
    <w:p w14:paraId="6BDD0D00" w14:textId="6EB00090" w:rsidR="00DE0F46" w:rsidRPr="00CE3CAD" w:rsidRDefault="00DE0F46" w:rsidP="00D60A18">
      <w:pPr>
        <w:rPr>
          <w:rFonts w:ascii="Arial" w:hAnsi="Arial" w:cs="Arial"/>
          <w:sz w:val="28"/>
          <w:szCs w:val="28"/>
        </w:rPr>
      </w:pPr>
      <w:r w:rsidRPr="00CE3CAD">
        <w:rPr>
          <w:rFonts w:ascii="Arial" w:hAnsi="Arial" w:cs="Arial"/>
          <w:sz w:val="28"/>
          <w:szCs w:val="28"/>
        </w:rPr>
        <w:t>9.0</w:t>
      </w:r>
      <w:r w:rsidRPr="00CE3CAD">
        <w:rPr>
          <w:rFonts w:ascii="Arial" w:hAnsi="Arial" w:cs="Arial"/>
          <w:sz w:val="28"/>
          <w:szCs w:val="28"/>
        </w:rPr>
        <w:tab/>
        <w:t>Due Regard</w:t>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t>11</w:t>
      </w:r>
    </w:p>
    <w:p w14:paraId="69489431" w14:textId="31EC1CD1" w:rsidR="00D60A18" w:rsidRPr="00CE3CAD" w:rsidRDefault="00DE0F46" w:rsidP="00BC7696">
      <w:pPr>
        <w:rPr>
          <w:rFonts w:ascii="Arial" w:hAnsi="Arial" w:cs="Arial"/>
          <w:sz w:val="28"/>
          <w:szCs w:val="28"/>
        </w:rPr>
      </w:pPr>
      <w:r w:rsidRPr="00CE3CAD">
        <w:rPr>
          <w:rFonts w:ascii="Arial" w:hAnsi="Arial" w:cs="Arial"/>
          <w:sz w:val="28"/>
          <w:szCs w:val="28"/>
        </w:rPr>
        <w:t>10.0</w:t>
      </w:r>
      <w:r w:rsidRPr="00CE3CAD">
        <w:rPr>
          <w:rFonts w:ascii="Arial" w:hAnsi="Arial" w:cs="Arial"/>
          <w:sz w:val="28"/>
          <w:szCs w:val="28"/>
        </w:rPr>
        <w:tab/>
        <w:t>Equality and Diversity Statement</w:t>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t>11</w:t>
      </w:r>
      <w:r w:rsidR="00516580" w:rsidRPr="00CE3CAD">
        <w:rPr>
          <w:rFonts w:ascii="Arial" w:hAnsi="Arial" w:cs="Arial"/>
          <w:sz w:val="28"/>
          <w:szCs w:val="28"/>
        </w:rPr>
        <w:t xml:space="preserve"> </w:t>
      </w:r>
    </w:p>
    <w:p w14:paraId="4A1A4854" w14:textId="3A59A9BC" w:rsidR="00A862B5" w:rsidRPr="00CE3CAD" w:rsidRDefault="00A862B5" w:rsidP="00BC7696">
      <w:pPr>
        <w:rPr>
          <w:rFonts w:ascii="Arial" w:hAnsi="Arial" w:cs="Arial"/>
          <w:sz w:val="28"/>
          <w:szCs w:val="28"/>
        </w:rPr>
      </w:pPr>
      <w:r w:rsidRPr="00CE3CAD">
        <w:rPr>
          <w:rFonts w:ascii="Arial" w:hAnsi="Arial" w:cs="Arial"/>
          <w:sz w:val="28"/>
          <w:szCs w:val="28"/>
        </w:rPr>
        <w:t>11.0</w:t>
      </w:r>
      <w:r w:rsidRPr="00CE3CAD">
        <w:rPr>
          <w:rFonts w:ascii="Arial" w:hAnsi="Arial" w:cs="Arial"/>
          <w:sz w:val="28"/>
          <w:szCs w:val="28"/>
        </w:rPr>
        <w:tab/>
        <w:t>References</w:t>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t>12</w:t>
      </w:r>
    </w:p>
    <w:p w14:paraId="206553B0" w14:textId="49682FAD" w:rsidR="00D60A18" w:rsidRPr="00CE3CAD" w:rsidRDefault="00A862B5" w:rsidP="00BC7696">
      <w:pPr>
        <w:rPr>
          <w:rFonts w:ascii="Arial" w:hAnsi="Arial" w:cs="Arial"/>
          <w:sz w:val="28"/>
          <w:szCs w:val="28"/>
        </w:rPr>
      </w:pPr>
      <w:r w:rsidRPr="00CE3CAD">
        <w:rPr>
          <w:rFonts w:ascii="Arial" w:hAnsi="Arial" w:cs="Arial"/>
          <w:sz w:val="28"/>
          <w:szCs w:val="28"/>
        </w:rPr>
        <w:t>12.0   Glossary</w:t>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00F62819">
        <w:rPr>
          <w:rFonts w:ascii="Arial" w:hAnsi="Arial" w:cs="Arial"/>
          <w:sz w:val="28"/>
          <w:szCs w:val="28"/>
        </w:rPr>
        <w:tab/>
      </w:r>
      <w:r w:rsidRPr="00CE3CAD">
        <w:rPr>
          <w:rFonts w:ascii="Arial" w:hAnsi="Arial" w:cs="Arial"/>
          <w:sz w:val="28"/>
          <w:szCs w:val="28"/>
        </w:rPr>
        <w:t>13</w:t>
      </w:r>
    </w:p>
    <w:p w14:paraId="5F1EFA63" w14:textId="567C814E" w:rsidR="00E371E3" w:rsidRPr="00CE3CAD" w:rsidRDefault="00E371E3" w:rsidP="00BC7696">
      <w:pPr>
        <w:rPr>
          <w:rFonts w:ascii="Arial" w:hAnsi="Arial" w:cs="Arial"/>
          <w:sz w:val="28"/>
          <w:szCs w:val="28"/>
        </w:rPr>
      </w:pPr>
      <w:r w:rsidRPr="00CE3CAD">
        <w:rPr>
          <w:rFonts w:ascii="Arial" w:hAnsi="Arial" w:cs="Arial"/>
          <w:sz w:val="28"/>
          <w:szCs w:val="28"/>
        </w:rPr>
        <w:t xml:space="preserve">13.0 </w:t>
      </w:r>
      <w:r w:rsidRPr="00CE3CAD">
        <w:rPr>
          <w:rFonts w:ascii="Arial" w:hAnsi="Arial" w:cs="Arial"/>
          <w:sz w:val="28"/>
          <w:szCs w:val="28"/>
        </w:rPr>
        <w:tab/>
        <w:t>A</w:t>
      </w:r>
      <w:r w:rsidR="005055F0" w:rsidRPr="00CE3CAD">
        <w:rPr>
          <w:rFonts w:ascii="Arial" w:hAnsi="Arial" w:cs="Arial"/>
          <w:sz w:val="28"/>
          <w:szCs w:val="28"/>
        </w:rPr>
        <w:t>ppendix</w:t>
      </w:r>
      <w:r w:rsidRPr="00CE3CAD">
        <w:rPr>
          <w:rFonts w:ascii="Arial" w:hAnsi="Arial" w:cs="Arial"/>
          <w:sz w:val="28"/>
          <w:szCs w:val="28"/>
        </w:rPr>
        <w:t xml:space="preserve"> A</w:t>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r>
      <w:r w:rsidRPr="00CE3CAD">
        <w:rPr>
          <w:rFonts w:ascii="Arial" w:hAnsi="Arial" w:cs="Arial"/>
          <w:sz w:val="28"/>
          <w:szCs w:val="28"/>
        </w:rPr>
        <w:tab/>
        <w:t>15</w:t>
      </w:r>
    </w:p>
    <w:p w14:paraId="6FE1A715" w14:textId="3ED3C6DE" w:rsidR="00D60A18" w:rsidRPr="00CE3CAD" w:rsidRDefault="00D60A18" w:rsidP="00BC7696">
      <w:pPr>
        <w:rPr>
          <w:rFonts w:ascii="Arial" w:hAnsi="Arial" w:cs="Arial"/>
        </w:rPr>
      </w:pPr>
    </w:p>
    <w:p w14:paraId="5D46B36A" w14:textId="77777777" w:rsidR="00D60A18" w:rsidRPr="00CE3CAD" w:rsidRDefault="00D60A18" w:rsidP="00BC7696">
      <w:pPr>
        <w:rPr>
          <w:rFonts w:ascii="Arial" w:hAnsi="Arial" w:cs="Arial"/>
        </w:rPr>
      </w:pPr>
    </w:p>
    <w:p w14:paraId="0FF9CE3A" w14:textId="78D25DD4" w:rsidR="00BC7696" w:rsidRPr="00CE3CAD" w:rsidRDefault="00BC7696" w:rsidP="00BC7696">
      <w:pPr>
        <w:rPr>
          <w:rFonts w:ascii="Arial" w:hAnsi="Arial" w:cs="Arial"/>
        </w:rPr>
      </w:pPr>
    </w:p>
    <w:p w14:paraId="396694D0" w14:textId="2F67C0B6" w:rsidR="00DE0F46" w:rsidRPr="00CE3CAD" w:rsidRDefault="00DE0F46" w:rsidP="00BC7696">
      <w:pPr>
        <w:rPr>
          <w:rFonts w:ascii="Arial" w:hAnsi="Arial" w:cs="Arial"/>
        </w:rPr>
      </w:pPr>
    </w:p>
    <w:p w14:paraId="3A58D518" w14:textId="1D9695FD" w:rsidR="00DE0F46" w:rsidRPr="00CE3CAD" w:rsidRDefault="00DE0F46" w:rsidP="00BC7696">
      <w:pPr>
        <w:rPr>
          <w:rFonts w:ascii="Arial" w:hAnsi="Arial" w:cs="Arial"/>
        </w:rPr>
      </w:pPr>
    </w:p>
    <w:p w14:paraId="3504BC37" w14:textId="43F635A7" w:rsidR="00DE0F46" w:rsidRPr="00CE3CAD" w:rsidRDefault="00DE0F46" w:rsidP="00BC7696">
      <w:pPr>
        <w:rPr>
          <w:rFonts w:ascii="Arial" w:hAnsi="Arial" w:cs="Arial"/>
        </w:rPr>
      </w:pPr>
    </w:p>
    <w:p w14:paraId="57752CE5" w14:textId="391A11F6" w:rsidR="00DE0F46" w:rsidRPr="00CE3CAD" w:rsidRDefault="00DE0F46" w:rsidP="00BC7696">
      <w:pPr>
        <w:rPr>
          <w:rFonts w:ascii="Arial" w:hAnsi="Arial" w:cs="Arial"/>
        </w:rPr>
      </w:pPr>
    </w:p>
    <w:p w14:paraId="382FD7EB" w14:textId="5031B762" w:rsidR="00DE0F46" w:rsidRPr="00CE3CAD" w:rsidRDefault="00DE0F46" w:rsidP="00BC7696">
      <w:pPr>
        <w:rPr>
          <w:rFonts w:ascii="Arial" w:hAnsi="Arial" w:cs="Arial"/>
        </w:rPr>
      </w:pPr>
    </w:p>
    <w:p w14:paraId="1E54F874" w14:textId="3EBF795D" w:rsidR="00DE0F46" w:rsidRPr="00CE3CAD" w:rsidRDefault="00DE0F46" w:rsidP="00BC7696">
      <w:pPr>
        <w:rPr>
          <w:rFonts w:ascii="Arial" w:hAnsi="Arial" w:cs="Arial"/>
        </w:rPr>
      </w:pPr>
    </w:p>
    <w:p w14:paraId="529FCAE9" w14:textId="7AFC55FA" w:rsidR="00DE0F46" w:rsidRPr="00CE3CAD" w:rsidRDefault="00DE0F46" w:rsidP="00BC7696">
      <w:pPr>
        <w:rPr>
          <w:rFonts w:ascii="Arial" w:hAnsi="Arial" w:cs="Arial"/>
        </w:rPr>
      </w:pPr>
    </w:p>
    <w:p w14:paraId="3D7B47D7" w14:textId="612F61CF" w:rsidR="00DE0F46" w:rsidRPr="00CE3CAD" w:rsidRDefault="00DE0F46" w:rsidP="00BC7696">
      <w:pPr>
        <w:rPr>
          <w:rFonts w:ascii="Arial" w:hAnsi="Arial" w:cs="Arial"/>
        </w:rPr>
      </w:pPr>
    </w:p>
    <w:p w14:paraId="71C82E18" w14:textId="1415F889" w:rsidR="00DE0F46" w:rsidRPr="00CE3CAD" w:rsidRDefault="00DE0F46" w:rsidP="00BC7696">
      <w:pPr>
        <w:rPr>
          <w:rFonts w:ascii="Arial" w:hAnsi="Arial" w:cs="Arial"/>
        </w:rPr>
      </w:pPr>
    </w:p>
    <w:p w14:paraId="119DF87E" w14:textId="77777777" w:rsidR="00BC7696" w:rsidRPr="00CE3CAD" w:rsidRDefault="00BC7696" w:rsidP="00BC7696">
      <w:pPr>
        <w:pStyle w:val="Heading1"/>
        <w:spacing w:before="0" w:after="120"/>
        <w:rPr>
          <w:rFonts w:ascii="Arial" w:hAnsi="Arial" w:cs="Arial"/>
          <w:color w:val="4F81BD" w:themeColor="accent1"/>
        </w:rPr>
      </w:pPr>
      <w:bookmarkStart w:id="0" w:name="_Toc1121322"/>
      <w:bookmarkStart w:id="1" w:name="_Toc1120676"/>
      <w:r w:rsidRPr="00CE3CAD">
        <w:rPr>
          <w:rFonts w:ascii="Arial" w:hAnsi="Arial" w:cs="Arial"/>
          <w:color w:val="4F81BD" w:themeColor="accent1"/>
        </w:rPr>
        <w:t>1.0</w:t>
      </w:r>
      <w:r w:rsidRPr="00CE3CAD">
        <w:rPr>
          <w:rFonts w:ascii="Arial" w:hAnsi="Arial" w:cs="Arial"/>
          <w:color w:val="4F81BD" w:themeColor="accent1"/>
        </w:rPr>
        <w:tab/>
        <w:t>INTRODUCTION</w:t>
      </w:r>
      <w:bookmarkEnd w:id="0"/>
    </w:p>
    <w:bookmarkEnd w:id="1"/>
    <w:p w14:paraId="7452B4D0" w14:textId="2A7633D3" w:rsidR="00BC7696" w:rsidRPr="00CE3CAD" w:rsidRDefault="00677F36" w:rsidP="00BC7696">
      <w:pPr>
        <w:pStyle w:val="Level1Text"/>
        <w:spacing w:before="0" w:after="120"/>
        <w:ind w:left="0"/>
        <w:jc w:val="both"/>
        <w:rPr>
          <w:rFonts w:hAnsi="Arial" w:cs="Arial"/>
          <w:lang w:val="en-GB"/>
        </w:rPr>
      </w:pPr>
      <w:r w:rsidRPr="00677F36">
        <w:rPr>
          <w:rFonts w:hAnsi="Arial" w:cs="Arial"/>
          <w:color w:val="auto"/>
          <w:lang w:val="en-GB"/>
        </w:rPr>
        <w:t>Integrated Care Boards</w:t>
      </w:r>
      <w:r w:rsidR="00BC7696" w:rsidRPr="00677F36">
        <w:rPr>
          <w:rFonts w:hAnsi="Arial" w:cs="Arial"/>
          <w:color w:val="auto"/>
          <w:lang w:val="en-GB"/>
        </w:rPr>
        <w:t xml:space="preserve"> (</w:t>
      </w:r>
      <w:r w:rsidR="00E271F0" w:rsidRPr="00677F36">
        <w:rPr>
          <w:rFonts w:hAnsi="Arial" w:cs="Arial"/>
          <w:color w:val="auto"/>
          <w:lang w:val="en-GB"/>
        </w:rPr>
        <w:t>ICB</w:t>
      </w:r>
      <w:r w:rsidR="00BC7696" w:rsidRPr="00677F36">
        <w:rPr>
          <w:rFonts w:hAnsi="Arial" w:cs="Arial"/>
          <w:color w:val="auto"/>
          <w:lang w:val="en-GB"/>
        </w:rPr>
        <w:t>s)</w:t>
      </w:r>
      <w:r w:rsidR="00BC7696" w:rsidRPr="00CE3CAD">
        <w:rPr>
          <w:rFonts w:hAnsi="Arial" w:cs="Arial"/>
          <w:color w:val="auto"/>
          <w:lang w:val="en-GB"/>
        </w:rPr>
        <w:t xml:space="preserve"> are responsible and accountable for system leadership for NHS Continuing Healthcare within their local health and social care economy to include delivery of, and compliance with, the National Framework for NHS Continuing Healthcare and NHS-funded Nursing Care </w:t>
      </w:r>
      <w:r w:rsidR="00BC7696" w:rsidRPr="00CE3CAD">
        <w:rPr>
          <w:rFonts w:hAnsi="Arial" w:cs="Arial"/>
          <w:i/>
          <w:color w:val="auto"/>
          <w:lang w:val="en-GB"/>
        </w:rPr>
        <w:t>October 2018 (Revised)</w:t>
      </w:r>
      <w:r w:rsidR="00BC7696" w:rsidRPr="00CE3CAD">
        <w:rPr>
          <w:rFonts w:hAnsi="Arial" w:cs="Arial"/>
          <w:color w:val="auto"/>
          <w:lang w:val="en-GB"/>
        </w:rPr>
        <w:t xml:space="preserve"> (National </w:t>
      </w:r>
      <w:proofErr w:type="gramStart"/>
      <w:r w:rsidR="00BC7696" w:rsidRPr="00CE3CAD">
        <w:rPr>
          <w:rFonts w:hAnsi="Arial" w:cs="Arial"/>
          <w:color w:val="auto"/>
          <w:lang w:val="en-GB"/>
        </w:rPr>
        <w:t>Framework)and</w:t>
      </w:r>
      <w:proofErr w:type="gramEnd"/>
      <w:r w:rsidR="00BC7696" w:rsidRPr="00CE3CAD">
        <w:rPr>
          <w:rFonts w:hAnsi="Arial" w:cs="Arial"/>
          <w:color w:val="auto"/>
          <w:lang w:val="en-GB"/>
        </w:rPr>
        <w:t xml:space="preserve"> promoting awareness of NHS Continuing Healthcare.</w:t>
      </w:r>
    </w:p>
    <w:p w14:paraId="23EF94DD" w14:textId="2CB1D840" w:rsidR="00BC7696" w:rsidRPr="00CE3CAD" w:rsidRDefault="00BC7696" w:rsidP="00BC7696">
      <w:pPr>
        <w:pStyle w:val="Level1Text"/>
        <w:spacing w:before="0" w:after="120"/>
        <w:ind w:left="0"/>
        <w:jc w:val="both"/>
        <w:rPr>
          <w:rFonts w:hAnsi="Arial" w:cs="Arial"/>
          <w:lang w:val="en-GB"/>
        </w:rPr>
      </w:pPr>
      <w:r w:rsidRPr="00CE3CAD">
        <w:rPr>
          <w:rFonts w:hAnsi="Arial" w:cs="Arial"/>
          <w:lang w:val="en-GB"/>
        </w:rPr>
        <w:t>Under the provisions of the “</w:t>
      </w:r>
      <w:r w:rsidRPr="00CE3CAD">
        <w:rPr>
          <w:rFonts w:hAnsi="Arial" w:cs="Arial"/>
        </w:rPr>
        <w:t>National Framework”</w:t>
      </w:r>
      <w:r w:rsidRPr="00CE3CAD">
        <w:rPr>
          <w:rFonts w:hAnsi="Arial" w:cs="Arial"/>
          <w:lang w:val="en-GB"/>
        </w:rPr>
        <w:t xml:space="preserve">, a fundamental principle is for </w:t>
      </w:r>
      <w:r w:rsidR="00E271F0">
        <w:rPr>
          <w:rFonts w:hAnsi="Arial" w:cs="Arial"/>
          <w:lang w:val="en-GB"/>
        </w:rPr>
        <w:t>ICB</w:t>
      </w:r>
      <w:r w:rsidRPr="00CE3CAD">
        <w:rPr>
          <w:rFonts w:hAnsi="Arial" w:cs="Arial"/>
          <w:lang w:val="en-GB"/>
        </w:rPr>
        <w:t>s and local authorities to minimise the need to invoke formal inter-agency dispute resolution procedures and to always attempt to resolve inter-agency disagreements at an early and preferably informal stage.</w:t>
      </w:r>
    </w:p>
    <w:p w14:paraId="392E9B28" w14:textId="0A4EBEB8" w:rsidR="00BC7696" w:rsidRPr="00CE3CAD" w:rsidRDefault="00BC7696" w:rsidP="00BC7696">
      <w:pPr>
        <w:pStyle w:val="Level1Text"/>
        <w:spacing w:before="0" w:after="120"/>
        <w:ind w:left="0"/>
        <w:jc w:val="both"/>
        <w:rPr>
          <w:rFonts w:hAnsi="Arial" w:cs="Arial"/>
          <w:lang w:val="en-GB"/>
        </w:rPr>
      </w:pPr>
      <w:r w:rsidRPr="00CE3CAD">
        <w:rPr>
          <w:rFonts w:hAnsi="Arial" w:cs="Arial"/>
          <w:lang w:val="en-GB"/>
        </w:rPr>
        <w:t xml:space="preserve">Therefore, in the event of an inter-agency dispute, the </w:t>
      </w:r>
      <w:r w:rsidR="00E271F0">
        <w:rPr>
          <w:rFonts w:hAnsi="Arial" w:cs="Arial"/>
          <w:lang w:val="en-GB"/>
        </w:rPr>
        <w:t>ICB</w:t>
      </w:r>
      <w:r w:rsidRPr="00CE3CAD">
        <w:rPr>
          <w:rFonts w:hAnsi="Arial" w:cs="Arial"/>
          <w:lang w:val="en-GB"/>
        </w:rPr>
        <w:t xml:space="preserve">s are expected to establish local arrangements which clearly define how the </w:t>
      </w:r>
      <w:r w:rsidR="00E271F0">
        <w:rPr>
          <w:rFonts w:hAnsi="Arial" w:cs="Arial"/>
          <w:lang w:val="en-GB"/>
        </w:rPr>
        <w:t>ICB</w:t>
      </w:r>
      <w:r w:rsidRPr="00CE3CAD">
        <w:rPr>
          <w:rFonts w:hAnsi="Arial" w:cs="Arial"/>
          <w:lang w:val="en-GB"/>
        </w:rPr>
        <w:t xml:space="preserve"> discharges its duty to consult with the local authority (The National Framework paragraph 21 (d)) and how the local authority discharges its duty to co-operate with the </w:t>
      </w:r>
      <w:r w:rsidR="00E271F0">
        <w:rPr>
          <w:rFonts w:hAnsi="Arial" w:cs="Arial"/>
          <w:lang w:val="en-GB"/>
        </w:rPr>
        <w:t>ICB</w:t>
      </w:r>
      <w:r w:rsidRPr="00CE3CAD">
        <w:rPr>
          <w:rFonts w:hAnsi="Arial" w:cs="Arial"/>
          <w:lang w:val="en-GB"/>
        </w:rPr>
        <w:t xml:space="preserve"> (The National Framework paragraphs 25-30).</w:t>
      </w:r>
    </w:p>
    <w:p w14:paraId="4C032233" w14:textId="77777777" w:rsidR="00BC7696" w:rsidRPr="00CE3CAD" w:rsidRDefault="00BC7696" w:rsidP="00BC7696">
      <w:pPr>
        <w:pStyle w:val="Level1Text"/>
        <w:spacing w:before="0" w:after="120"/>
        <w:ind w:left="0"/>
        <w:jc w:val="both"/>
        <w:rPr>
          <w:rFonts w:hAnsi="Arial" w:cs="Arial"/>
          <w:lang w:val="en-GB"/>
        </w:rPr>
      </w:pPr>
      <w:r w:rsidRPr="00CE3CAD">
        <w:rPr>
          <w:rFonts w:hAnsi="Arial" w:cs="Arial"/>
          <w:lang w:val="en-GB"/>
        </w:rPr>
        <w:t>This Inter-agency Dispute Policy will hereafter be referred to as the “Disputes Policy”.</w:t>
      </w:r>
    </w:p>
    <w:p w14:paraId="2F43E21C" w14:textId="38721045" w:rsidR="00BC7696" w:rsidRPr="00CE3CAD" w:rsidRDefault="00BC7696" w:rsidP="00BC7696">
      <w:pPr>
        <w:pStyle w:val="Heading1"/>
        <w:rPr>
          <w:rFonts w:ascii="Arial" w:hAnsi="Arial" w:cs="Arial"/>
          <w:color w:val="0070C0"/>
        </w:rPr>
      </w:pPr>
      <w:bookmarkStart w:id="2" w:name="_Toc1121323"/>
      <w:r w:rsidRPr="00CE3CAD">
        <w:rPr>
          <w:rFonts w:ascii="Arial" w:hAnsi="Arial" w:cs="Arial"/>
          <w:color w:val="4F81BD" w:themeColor="accent1"/>
        </w:rPr>
        <w:t>2.0</w:t>
      </w:r>
      <w:r w:rsidRPr="00CE3CAD">
        <w:rPr>
          <w:rFonts w:ascii="Arial" w:hAnsi="Arial" w:cs="Arial"/>
          <w:color w:val="4F81BD" w:themeColor="accent1"/>
        </w:rPr>
        <w:tab/>
        <w:t>PURPOSE &amp; REMIT OF THE DISPUTE POLICY</w:t>
      </w:r>
      <w:bookmarkEnd w:id="2"/>
    </w:p>
    <w:p w14:paraId="5A460F02" w14:textId="6CC7F386" w:rsidR="00BC7696" w:rsidRPr="00CE3CAD" w:rsidRDefault="00BC7696" w:rsidP="00BC7696">
      <w:pPr>
        <w:pStyle w:val="Level2Text"/>
        <w:spacing w:before="0" w:after="120"/>
        <w:ind w:left="0"/>
        <w:jc w:val="both"/>
        <w:rPr>
          <w:rFonts w:hAnsi="Arial" w:cs="Arial"/>
          <w:lang w:val="en-GB"/>
        </w:rPr>
      </w:pPr>
      <w:r w:rsidRPr="00CE3CAD">
        <w:rPr>
          <w:rFonts w:hAnsi="Arial" w:cs="Arial"/>
          <w:lang w:val="en-GB"/>
        </w:rPr>
        <w:t xml:space="preserve">The purpose of this Disputes Policy is to ensure that inter-agency disputes between Lincolnshire </w:t>
      </w:r>
      <w:r w:rsidR="00E271F0">
        <w:rPr>
          <w:rFonts w:hAnsi="Arial" w:cs="Arial"/>
          <w:lang w:val="en-GB"/>
        </w:rPr>
        <w:t>ICB</w:t>
      </w:r>
      <w:r w:rsidRPr="00CE3CAD">
        <w:rPr>
          <w:rFonts w:hAnsi="Arial" w:cs="Arial"/>
          <w:lang w:val="en-GB"/>
        </w:rPr>
        <w:t>s and Lincolnshire County Council (LCC) regarding an individual’s eligibility for NHS Continuing Healthcare (CHC) are resolved as quickly as possible for the benefit of the individual concerned.</w:t>
      </w:r>
    </w:p>
    <w:p w14:paraId="4CBA9A77" w14:textId="4D3E90E2" w:rsidR="00BC7696" w:rsidRPr="00CE3CAD" w:rsidRDefault="00BC7696" w:rsidP="00BC7696">
      <w:pPr>
        <w:pStyle w:val="Level2Text"/>
        <w:spacing w:before="0" w:after="120"/>
        <w:ind w:left="0"/>
        <w:jc w:val="both"/>
        <w:rPr>
          <w:rFonts w:hAnsi="Arial" w:cs="Arial"/>
          <w:lang w:val="en-GB"/>
        </w:rPr>
      </w:pPr>
      <w:r w:rsidRPr="00CE3CAD">
        <w:rPr>
          <w:rFonts w:hAnsi="Arial" w:cs="Arial"/>
          <w:lang w:val="en-GB"/>
        </w:rPr>
        <w:t>The dispute process should show a commitment from both</w:t>
      </w:r>
      <w:r w:rsidR="00DE45BD" w:rsidRPr="00CE3CAD">
        <w:rPr>
          <w:rFonts w:hAnsi="Arial" w:cs="Arial"/>
          <w:lang w:val="en-GB"/>
        </w:rPr>
        <w:t xml:space="preserve"> </w:t>
      </w:r>
      <w:r w:rsidRPr="00CE3CAD">
        <w:rPr>
          <w:rFonts w:hAnsi="Arial" w:cs="Arial"/>
          <w:lang w:val="en-GB"/>
        </w:rPr>
        <w:t xml:space="preserve">organisations to work together, ensuring a person-centred approach to decision-making. </w:t>
      </w:r>
    </w:p>
    <w:p w14:paraId="2DC49FCC" w14:textId="628202D3" w:rsidR="00BC7696" w:rsidRPr="00CE3CAD" w:rsidRDefault="00BC7696" w:rsidP="00BC7696">
      <w:pPr>
        <w:pStyle w:val="Level2Text"/>
        <w:spacing w:before="0" w:after="120"/>
        <w:ind w:left="0"/>
        <w:jc w:val="both"/>
        <w:rPr>
          <w:rFonts w:hAnsi="Arial" w:cs="Arial"/>
          <w:lang w:val="en-GB"/>
        </w:rPr>
      </w:pPr>
      <w:r w:rsidRPr="00CE3CAD">
        <w:rPr>
          <w:rFonts w:hAnsi="Arial" w:cs="Arial"/>
          <w:lang w:val="en-GB"/>
        </w:rPr>
        <w:t xml:space="preserve">The guidance takes account of and where appropriate, </w:t>
      </w:r>
      <w:proofErr w:type="gramStart"/>
      <w:r w:rsidRPr="00CE3CAD">
        <w:rPr>
          <w:rFonts w:hAnsi="Arial" w:cs="Arial"/>
          <w:lang w:val="en-GB"/>
        </w:rPr>
        <w:t>makes reference</w:t>
      </w:r>
      <w:proofErr w:type="gramEnd"/>
      <w:r w:rsidRPr="00CE3CAD">
        <w:rPr>
          <w:rFonts w:hAnsi="Arial" w:cs="Arial"/>
          <w:lang w:val="en-GB"/>
        </w:rPr>
        <w:t xml:space="preserve"> to relevant sections of the following </w:t>
      </w:r>
      <w:r w:rsidR="00DE45BD" w:rsidRPr="00CE3CAD">
        <w:rPr>
          <w:rFonts w:hAnsi="Arial" w:cs="Arial"/>
          <w:lang w:val="en-GB"/>
        </w:rPr>
        <w:t>documents: -</w:t>
      </w:r>
    </w:p>
    <w:p w14:paraId="6B332368" w14:textId="77777777" w:rsidR="00BC7696" w:rsidRPr="00CE3CAD" w:rsidRDefault="00BC7696" w:rsidP="00BC7696">
      <w:pPr>
        <w:pStyle w:val="Level2Text"/>
        <w:numPr>
          <w:ilvl w:val="0"/>
          <w:numId w:val="3"/>
        </w:numPr>
        <w:spacing w:before="0" w:after="120"/>
        <w:rPr>
          <w:rFonts w:hAnsi="Arial" w:cs="Arial"/>
          <w:lang w:val="en-GB"/>
        </w:rPr>
      </w:pPr>
      <w:r w:rsidRPr="00CE3CAD">
        <w:rPr>
          <w:rFonts w:hAnsi="Arial" w:cs="Arial"/>
        </w:rPr>
        <w:t>National Framework for NHS Continuing Healthcare and NHS-funded Nursing Care,</w:t>
      </w:r>
      <w:r w:rsidRPr="00CE3CAD">
        <w:rPr>
          <w:rFonts w:hAnsi="Arial" w:cs="Arial"/>
          <w:lang w:val="en-GB"/>
        </w:rPr>
        <w:t xml:space="preserve"> </w:t>
      </w:r>
      <w:r w:rsidRPr="00CE3CAD">
        <w:rPr>
          <w:rFonts w:hAnsi="Arial" w:cs="Arial"/>
          <w:i/>
          <w:lang w:val="en-GB"/>
        </w:rPr>
        <w:t>October 2018 (Revised)</w:t>
      </w:r>
    </w:p>
    <w:p w14:paraId="23E245DE" w14:textId="77777777" w:rsidR="00BC7696" w:rsidRPr="00CE3CAD" w:rsidRDefault="00BC7696" w:rsidP="00BC7696">
      <w:pPr>
        <w:pStyle w:val="Level2Text"/>
        <w:numPr>
          <w:ilvl w:val="0"/>
          <w:numId w:val="3"/>
        </w:numPr>
        <w:spacing w:before="0" w:after="120"/>
        <w:rPr>
          <w:rFonts w:hAnsi="Arial" w:cs="Arial"/>
          <w:lang w:val="en-GB"/>
        </w:rPr>
      </w:pPr>
      <w:r w:rsidRPr="00CE3CAD">
        <w:rPr>
          <w:rFonts w:hAnsi="Arial" w:cs="Arial"/>
          <w:lang w:val="en-GB"/>
        </w:rPr>
        <w:t xml:space="preserve">The National Health Service Commissioning Board and </w:t>
      </w:r>
      <w:r w:rsidRPr="00677F36">
        <w:rPr>
          <w:rFonts w:hAnsi="Arial" w:cs="Arial"/>
          <w:lang w:val="en-GB"/>
        </w:rPr>
        <w:t>Clinical Commissioning Groups</w:t>
      </w:r>
      <w:r w:rsidRPr="00CE3CAD">
        <w:rPr>
          <w:rFonts w:hAnsi="Arial" w:cs="Arial"/>
          <w:lang w:val="en-GB"/>
        </w:rPr>
        <w:t xml:space="preserve"> (Responsibilities and Standing rules) Regulations 2012. Hereafter referred to as the Standing Rules. Constitutional Standards 2013</w:t>
      </w:r>
    </w:p>
    <w:p w14:paraId="3A9F1D81" w14:textId="77777777" w:rsidR="00BC7696" w:rsidRPr="00CE3CAD" w:rsidRDefault="00BC7696" w:rsidP="00BC7696">
      <w:pPr>
        <w:pStyle w:val="Level2Text"/>
        <w:numPr>
          <w:ilvl w:val="0"/>
          <w:numId w:val="3"/>
        </w:numPr>
        <w:spacing w:before="0" w:after="120"/>
        <w:rPr>
          <w:rFonts w:hAnsi="Arial" w:cs="Arial"/>
          <w:lang w:val="en-GB"/>
        </w:rPr>
      </w:pPr>
      <w:r w:rsidRPr="00CE3CAD">
        <w:rPr>
          <w:rFonts w:hAnsi="Arial" w:cs="Arial"/>
          <w:lang w:val="en-GB"/>
        </w:rPr>
        <w:t>NHS England Operating Model for NHS Continuing Healthcare, June 2020</w:t>
      </w:r>
    </w:p>
    <w:p w14:paraId="053BBF20" w14:textId="77777777" w:rsidR="00BC7696" w:rsidRPr="00CE3CAD" w:rsidRDefault="00BC7696" w:rsidP="00BC7696">
      <w:pPr>
        <w:pStyle w:val="Level2Text"/>
        <w:numPr>
          <w:ilvl w:val="0"/>
          <w:numId w:val="3"/>
        </w:numPr>
        <w:spacing w:before="0" w:after="120"/>
        <w:rPr>
          <w:rFonts w:hAnsi="Arial" w:cs="Arial"/>
          <w:lang w:val="en-GB"/>
        </w:rPr>
      </w:pPr>
      <w:r w:rsidRPr="00CE3CAD">
        <w:rPr>
          <w:rFonts w:hAnsi="Arial" w:cs="Arial"/>
          <w:lang w:val="en-GB"/>
        </w:rPr>
        <w:t xml:space="preserve">The Care Act 2014 </w:t>
      </w:r>
    </w:p>
    <w:p w14:paraId="601FD942" w14:textId="108FC8DF" w:rsidR="00BC7696" w:rsidRPr="00CE3CAD" w:rsidRDefault="00BC7696" w:rsidP="00BC7696">
      <w:pPr>
        <w:pStyle w:val="Level2Text"/>
        <w:numPr>
          <w:ilvl w:val="0"/>
          <w:numId w:val="3"/>
        </w:numPr>
        <w:spacing w:before="0" w:after="120"/>
        <w:rPr>
          <w:rFonts w:hAnsi="Arial" w:cs="Arial"/>
          <w:color w:val="auto"/>
          <w:lang w:val="en-GB"/>
        </w:rPr>
      </w:pPr>
      <w:r w:rsidRPr="00CE3CAD">
        <w:rPr>
          <w:rFonts w:hAnsi="Arial" w:cs="Arial"/>
          <w:color w:val="auto"/>
          <w:lang w:val="en-GB"/>
        </w:rPr>
        <w:t xml:space="preserve">The Care and Support Statutory Guidance </w:t>
      </w:r>
      <w:r w:rsidR="00E40F55" w:rsidRPr="00CE3CAD">
        <w:rPr>
          <w:rFonts w:hAnsi="Arial" w:cs="Arial"/>
          <w:color w:val="auto"/>
          <w:lang w:val="en-GB"/>
        </w:rPr>
        <w:t>2016 (updated 2021)</w:t>
      </w:r>
    </w:p>
    <w:p w14:paraId="40DEA061" w14:textId="2F87CD34" w:rsidR="00BC7696" w:rsidRPr="00CE3CAD" w:rsidRDefault="00BC7696" w:rsidP="00BC7696">
      <w:pPr>
        <w:pStyle w:val="Level2Text"/>
        <w:spacing w:before="0" w:after="120"/>
        <w:ind w:left="0"/>
        <w:jc w:val="both"/>
        <w:rPr>
          <w:rFonts w:hAnsi="Arial" w:cs="Arial"/>
        </w:rPr>
      </w:pPr>
      <w:r w:rsidRPr="00CE3CAD">
        <w:rPr>
          <w:rFonts w:hAnsi="Arial" w:cs="Arial"/>
        </w:rPr>
        <w:t xml:space="preserve">In accordance with the aforementioned documents neither the Lincolnshire </w:t>
      </w:r>
      <w:r w:rsidR="00E271F0">
        <w:rPr>
          <w:rFonts w:hAnsi="Arial" w:cs="Arial"/>
        </w:rPr>
        <w:t>ICB</w:t>
      </w:r>
      <w:r w:rsidRPr="00CE3CAD">
        <w:rPr>
          <w:rFonts w:hAnsi="Arial" w:cs="Arial"/>
        </w:rPr>
        <w:t xml:space="preserve"> or LCC should unilaterally withdraw from an existing funding arrangement without a joint reassessment of the individual and without first consulting one another and the individual about the proposed change of arrangement. </w:t>
      </w:r>
    </w:p>
    <w:p w14:paraId="37BB7631" w14:textId="77777777" w:rsidR="00BC7696" w:rsidRPr="00CE3CAD" w:rsidRDefault="00BC7696" w:rsidP="00BC7696">
      <w:pPr>
        <w:pStyle w:val="Level2Text"/>
        <w:spacing w:before="0" w:after="120"/>
        <w:ind w:left="0"/>
        <w:jc w:val="both"/>
        <w:rPr>
          <w:rFonts w:hAnsi="Arial" w:cs="Arial"/>
        </w:rPr>
      </w:pPr>
      <w:r w:rsidRPr="00CE3CAD">
        <w:rPr>
          <w:rFonts w:hAnsi="Arial" w:cs="Arial"/>
        </w:rPr>
        <w:t xml:space="preserve">It is essential that alternative funding arrangements are agreed and put into effect before any withdrawal of existing funding, to ensure continuity of care. Any proposed change should be put in writing to the individual by the </w:t>
      </w:r>
      <w:r w:rsidRPr="00CE3CAD">
        <w:rPr>
          <w:rFonts w:hAnsi="Arial" w:cs="Arial"/>
          <w:lang w:val="en-GB"/>
        </w:rPr>
        <w:t>organisation</w:t>
      </w:r>
      <w:r w:rsidRPr="00CE3CAD">
        <w:rPr>
          <w:rFonts w:hAnsi="Arial" w:cs="Arial"/>
        </w:rPr>
        <w:t xml:space="preserve"> that is proposing to make such a change.</w:t>
      </w:r>
    </w:p>
    <w:p w14:paraId="2DB1FE2F" w14:textId="06671E3A" w:rsidR="00BC7696" w:rsidRPr="00CE3CAD" w:rsidRDefault="00BC7696" w:rsidP="00BC7696">
      <w:pPr>
        <w:pStyle w:val="Level2Text"/>
        <w:spacing w:before="0" w:after="120"/>
        <w:ind w:left="0"/>
        <w:jc w:val="both"/>
        <w:rPr>
          <w:rFonts w:hAnsi="Arial" w:cs="Arial"/>
          <w:lang w:val="en-GB"/>
        </w:rPr>
      </w:pPr>
      <w:r w:rsidRPr="00CE3CAD">
        <w:rPr>
          <w:rFonts w:hAnsi="Arial" w:cs="Arial"/>
        </w:rPr>
        <w:t xml:space="preserve">If agreement between the Lincolnshire </w:t>
      </w:r>
      <w:r w:rsidR="00E271F0">
        <w:rPr>
          <w:rFonts w:hAnsi="Arial" w:cs="Arial"/>
        </w:rPr>
        <w:t>ICB</w:t>
      </w:r>
      <w:r w:rsidRPr="00CE3CAD">
        <w:rPr>
          <w:rFonts w:hAnsi="Arial" w:cs="Arial"/>
        </w:rPr>
        <w:t xml:space="preserve"> and LCC cannot be reached on the proposed change, this </w:t>
      </w:r>
      <w:r w:rsidRPr="00CE3CAD">
        <w:rPr>
          <w:rFonts w:hAnsi="Arial" w:cs="Arial"/>
          <w:lang w:val="en-GB"/>
        </w:rPr>
        <w:t>Inter-agency Disputes Policy</w:t>
      </w:r>
      <w:r w:rsidRPr="00CE3CAD" w:rsidDel="00B8397B">
        <w:rPr>
          <w:rFonts w:hAnsi="Arial" w:cs="Arial"/>
        </w:rPr>
        <w:t xml:space="preserve"> </w:t>
      </w:r>
      <w:r w:rsidRPr="00CE3CAD">
        <w:rPr>
          <w:rFonts w:hAnsi="Arial" w:cs="Arial"/>
        </w:rPr>
        <w:t>should be invoked. Current funding and care management responsibilities will remain in place until the inter-agency dispute has been resolved.</w:t>
      </w:r>
      <w:r w:rsidRPr="00CE3CAD">
        <w:rPr>
          <w:rFonts w:hAnsi="Arial" w:cs="Arial"/>
          <w:b/>
          <w:lang w:val="en-GB"/>
        </w:rPr>
        <w:t xml:space="preserve"> </w:t>
      </w:r>
      <w:r w:rsidRPr="00CE3CAD">
        <w:rPr>
          <w:rFonts w:hAnsi="Arial" w:cs="Arial"/>
          <w:lang w:val="en-GB"/>
        </w:rPr>
        <w:t>Individuals must never be left without appropriate support while disputes between statutory bodies about funding responsibilities are resolved.</w:t>
      </w:r>
    </w:p>
    <w:p w14:paraId="20711663" w14:textId="77777777" w:rsidR="00BC7696" w:rsidRPr="00CE3CAD" w:rsidRDefault="00BC7696" w:rsidP="00BC7696">
      <w:pPr>
        <w:pStyle w:val="Heading2"/>
        <w:spacing w:after="120"/>
        <w:rPr>
          <w:rFonts w:ascii="Arial" w:hAnsi="Arial" w:cs="Arial"/>
          <w:color w:val="4F81BD" w:themeColor="accent1"/>
          <w:sz w:val="24"/>
          <w:szCs w:val="24"/>
        </w:rPr>
      </w:pPr>
      <w:bookmarkStart w:id="3" w:name="_Toc1121324"/>
      <w:r w:rsidRPr="00CE3CAD">
        <w:rPr>
          <w:rFonts w:ascii="Arial" w:hAnsi="Arial" w:cs="Arial"/>
          <w:color w:val="4F81BD" w:themeColor="accent1"/>
          <w:sz w:val="24"/>
          <w:szCs w:val="24"/>
        </w:rPr>
        <w:lastRenderedPageBreak/>
        <w:t>2.1</w:t>
      </w:r>
      <w:r w:rsidRPr="00CE3CAD">
        <w:rPr>
          <w:rFonts w:ascii="Arial" w:hAnsi="Arial" w:cs="Arial"/>
          <w:color w:val="4F81BD" w:themeColor="accent1"/>
          <w:sz w:val="24"/>
          <w:szCs w:val="24"/>
        </w:rPr>
        <w:tab/>
        <w:t>What disputes are covered by this Inter-agency Disputes Policy?</w:t>
      </w:r>
      <w:bookmarkEnd w:id="3"/>
    </w:p>
    <w:p w14:paraId="2D74881E" w14:textId="267D29D2" w:rsidR="00BC7696" w:rsidRPr="00CE3CAD" w:rsidRDefault="00BC7696" w:rsidP="00BC7696">
      <w:pPr>
        <w:pStyle w:val="Level1Text"/>
        <w:spacing w:before="0" w:after="120"/>
        <w:ind w:left="0"/>
        <w:jc w:val="both"/>
        <w:rPr>
          <w:rFonts w:hAnsi="Arial" w:cs="Arial"/>
          <w:lang w:val="en-GB"/>
        </w:rPr>
      </w:pPr>
      <w:r w:rsidRPr="00CE3CAD">
        <w:rPr>
          <w:rFonts w:hAnsi="Arial" w:cs="Arial"/>
          <w:lang w:val="en-GB"/>
        </w:rPr>
        <w:t>This Disputes Policy</w:t>
      </w:r>
      <w:r w:rsidRPr="00CE3CAD" w:rsidDel="00B8397B">
        <w:rPr>
          <w:rFonts w:hAnsi="Arial" w:cs="Arial"/>
        </w:rPr>
        <w:t xml:space="preserve"> </w:t>
      </w:r>
      <w:r w:rsidRPr="00CE3CAD">
        <w:rPr>
          <w:rFonts w:hAnsi="Arial" w:cs="Arial"/>
          <w:lang w:val="en-GB"/>
        </w:rPr>
        <w:t xml:space="preserve">will assist in the resolution of disputes between Lincolnshire </w:t>
      </w:r>
      <w:r w:rsidR="00E271F0">
        <w:rPr>
          <w:rFonts w:hAnsi="Arial" w:cs="Arial"/>
          <w:lang w:val="en-GB"/>
        </w:rPr>
        <w:t>ICB</w:t>
      </w:r>
      <w:r w:rsidRPr="00CE3CAD">
        <w:rPr>
          <w:rFonts w:hAnsi="Arial" w:cs="Arial"/>
          <w:lang w:val="en-GB"/>
        </w:rPr>
        <w:t xml:space="preserve"> and LCC, which arise from:</w:t>
      </w:r>
    </w:p>
    <w:p w14:paraId="6A96AA8E" w14:textId="77777777" w:rsidR="00BC7696" w:rsidRPr="00CE3CAD" w:rsidRDefault="00BC7696" w:rsidP="00BC7696">
      <w:pPr>
        <w:pStyle w:val="Level1Text"/>
        <w:numPr>
          <w:ilvl w:val="0"/>
          <w:numId w:val="5"/>
        </w:numPr>
        <w:spacing w:before="0" w:after="120"/>
        <w:jc w:val="both"/>
        <w:rPr>
          <w:rFonts w:hAnsi="Arial" w:cs="Arial"/>
          <w:lang w:val="en-GB"/>
        </w:rPr>
      </w:pPr>
      <w:r w:rsidRPr="00CE3CAD">
        <w:rPr>
          <w:rFonts w:hAnsi="Arial" w:cs="Arial"/>
          <w:sz w:val="23"/>
          <w:szCs w:val="23"/>
          <w:lang w:val="en-GB"/>
        </w:rPr>
        <w:t>A decision as to an individual’s eligibility for NHS Continuing Healthcare</w:t>
      </w:r>
    </w:p>
    <w:p w14:paraId="311A0A9D" w14:textId="77777777" w:rsidR="00BC7696" w:rsidRPr="00CE3CAD" w:rsidRDefault="00BC7696" w:rsidP="00BC7696">
      <w:pPr>
        <w:pStyle w:val="Level1Text"/>
        <w:spacing w:before="0" w:after="120"/>
        <w:ind w:left="720"/>
        <w:jc w:val="center"/>
        <w:rPr>
          <w:rFonts w:hAnsi="Arial" w:cs="Arial"/>
          <w:lang w:val="en-GB"/>
        </w:rPr>
      </w:pPr>
      <w:r w:rsidRPr="00CE3CAD">
        <w:rPr>
          <w:rFonts w:hAnsi="Arial" w:cs="Arial"/>
          <w:sz w:val="23"/>
          <w:szCs w:val="23"/>
          <w:u w:val="single"/>
          <w:lang w:val="en-GB"/>
        </w:rPr>
        <w:t>or</w:t>
      </w:r>
    </w:p>
    <w:p w14:paraId="4F15FAA2" w14:textId="42E4F58D" w:rsidR="00BC7696" w:rsidRPr="00CE3CAD" w:rsidRDefault="00BC7696" w:rsidP="00BC7696">
      <w:pPr>
        <w:pStyle w:val="Level1Text"/>
        <w:numPr>
          <w:ilvl w:val="0"/>
          <w:numId w:val="5"/>
        </w:numPr>
        <w:spacing w:before="0" w:after="120"/>
        <w:jc w:val="both"/>
        <w:rPr>
          <w:rFonts w:hAnsi="Arial" w:cs="Arial"/>
          <w:lang w:val="en-GB"/>
        </w:rPr>
      </w:pPr>
      <w:r w:rsidRPr="00CE3CAD">
        <w:rPr>
          <w:rFonts w:hAnsi="Arial" w:cs="Arial"/>
          <w:sz w:val="23"/>
          <w:szCs w:val="23"/>
          <w:lang w:val="en-GB"/>
        </w:rPr>
        <w:t xml:space="preserve">where an individual is not eligible for NHS Continuing Healthcare, the contribution of a Lincolnshire </w:t>
      </w:r>
      <w:r w:rsidR="00E271F0">
        <w:rPr>
          <w:rFonts w:hAnsi="Arial" w:cs="Arial"/>
          <w:sz w:val="23"/>
          <w:szCs w:val="23"/>
          <w:lang w:val="en-GB"/>
        </w:rPr>
        <w:t>ICB</w:t>
      </w:r>
      <w:r w:rsidRPr="00CE3CAD">
        <w:rPr>
          <w:rFonts w:hAnsi="Arial" w:cs="Arial"/>
          <w:sz w:val="23"/>
          <w:szCs w:val="23"/>
          <w:lang w:val="en-GB"/>
        </w:rPr>
        <w:t xml:space="preserve"> or LCC to a joint package of care for that person</w:t>
      </w:r>
    </w:p>
    <w:p w14:paraId="193CEB46" w14:textId="77777777" w:rsidR="00BC7696" w:rsidRPr="00CE3CAD" w:rsidRDefault="00BC7696" w:rsidP="00BC7696">
      <w:pPr>
        <w:pStyle w:val="Level1Text"/>
        <w:spacing w:before="0" w:after="120"/>
        <w:ind w:left="720"/>
        <w:jc w:val="both"/>
        <w:rPr>
          <w:rFonts w:hAnsi="Arial" w:cs="Arial"/>
          <w:lang w:val="en-GB"/>
        </w:rPr>
      </w:pPr>
    </w:p>
    <w:p w14:paraId="511AAEC6" w14:textId="77777777" w:rsidR="00BC7696" w:rsidRPr="00CE3CAD" w:rsidRDefault="00BC7696" w:rsidP="00BC7696">
      <w:pPr>
        <w:pStyle w:val="Level1Text"/>
        <w:numPr>
          <w:ilvl w:val="0"/>
          <w:numId w:val="5"/>
        </w:numPr>
        <w:spacing w:before="0" w:after="120"/>
        <w:jc w:val="both"/>
        <w:rPr>
          <w:rFonts w:hAnsi="Arial" w:cs="Arial"/>
          <w:lang w:val="en-GB"/>
        </w:rPr>
      </w:pPr>
      <w:r w:rsidRPr="00CE3CAD">
        <w:rPr>
          <w:rFonts w:hAnsi="Arial" w:cs="Arial"/>
          <w:sz w:val="23"/>
          <w:szCs w:val="23"/>
          <w:lang w:val="en-GB"/>
        </w:rPr>
        <w:t>the operations of the refunds guidance as set out in the National Framework, Annexe E: Guidance on responsibilities when a decision on NHS Continuing Healthcare eligibility is awaited or disputed</w:t>
      </w:r>
    </w:p>
    <w:p w14:paraId="07AFD3AD" w14:textId="77777777" w:rsidR="00BC7696" w:rsidRPr="00CE3CAD" w:rsidRDefault="00BC7696" w:rsidP="00BC7696">
      <w:pPr>
        <w:pStyle w:val="Heading2"/>
        <w:spacing w:after="120"/>
        <w:rPr>
          <w:rFonts w:ascii="Arial" w:hAnsi="Arial" w:cs="Arial"/>
          <w:color w:val="4F81BD" w:themeColor="accent1"/>
          <w:sz w:val="24"/>
          <w:szCs w:val="24"/>
        </w:rPr>
      </w:pPr>
      <w:bookmarkStart w:id="4" w:name="_Toc1121325"/>
      <w:r w:rsidRPr="00CE3CAD">
        <w:rPr>
          <w:rFonts w:ascii="Arial" w:hAnsi="Arial" w:cs="Arial"/>
          <w:color w:val="4F81BD" w:themeColor="accent1"/>
          <w:sz w:val="24"/>
          <w:szCs w:val="24"/>
        </w:rPr>
        <w:t>2.2</w:t>
      </w:r>
      <w:r w:rsidRPr="00CE3CAD">
        <w:rPr>
          <w:rFonts w:ascii="Arial" w:hAnsi="Arial" w:cs="Arial"/>
          <w:color w:val="4F81BD" w:themeColor="accent1"/>
          <w:sz w:val="24"/>
          <w:szCs w:val="24"/>
        </w:rPr>
        <w:tab/>
        <w:t>What disputes are not covered by the Inter-agency Disputes Policy?</w:t>
      </w:r>
      <w:bookmarkEnd w:id="4"/>
    </w:p>
    <w:p w14:paraId="7F583CFB" w14:textId="77777777" w:rsidR="00BC7696" w:rsidRPr="00CE3CAD" w:rsidRDefault="00BC7696" w:rsidP="00BC7696">
      <w:pPr>
        <w:pStyle w:val="Level1Text"/>
        <w:spacing w:before="0" w:after="120"/>
        <w:ind w:left="0"/>
        <w:rPr>
          <w:rFonts w:hAnsi="Arial" w:cs="Arial"/>
          <w:lang w:val="en-GB"/>
        </w:rPr>
      </w:pPr>
      <w:r w:rsidRPr="00CE3CAD">
        <w:rPr>
          <w:rFonts w:hAnsi="Arial" w:cs="Arial"/>
          <w:lang w:val="en-GB"/>
        </w:rPr>
        <w:t>This Inter-agency Disputes Policy does not cover disputes relating to:</w:t>
      </w:r>
    </w:p>
    <w:p w14:paraId="77285EAB" w14:textId="5B51A35B" w:rsidR="00BC7696" w:rsidRPr="00CE3CAD" w:rsidRDefault="00BC7696" w:rsidP="00BC7696">
      <w:pPr>
        <w:pStyle w:val="Level1Bullet"/>
        <w:numPr>
          <w:ilvl w:val="0"/>
          <w:numId w:val="1"/>
        </w:numPr>
        <w:tabs>
          <w:tab w:val="clear" w:pos="1134"/>
          <w:tab w:val="left" w:pos="1224"/>
          <w:tab w:val="left" w:pos="1276"/>
        </w:tabs>
        <w:spacing w:before="0" w:after="120"/>
        <w:ind w:left="360"/>
        <w:rPr>
          <w:rFonts w:hAnsi="Arial" w:cs="Arial"/>
          <w:sz w:val="22"/>
          <w:szCs w:val="22"/>
          <w:lang w:val="en-GB"/>
        </w:rPr>
      </w:pPr>
      <w:r w:rsidRPr="00CE3CAD">
        <w:rPr>
          <w:rFonts w:hAnsi="Arial" w:cs="Arial"/>
          <w:sz w:val="22"/>
          <w:szCs w:val="22"/>
          <w:lang w:val="en-GB"/>
        </w:rPr>
        <w:t xml:space="preserve">Responsible Commissioner Disputes between </w:t>
      </w:r>
      <w:r w:rsidR="00E271F0">
        <w:rPr>
          <w:rFonts w:hAnsi="Arial" w:cs="Arial"/>
          <w:sz w:val="22"/>
          <w:szCs w:val="22"/>
          <w:lang w:val="en-GB"/>
        </w:rPr>
        <w:t>ICB</w:t>
      </w:r>
      <w:r w:rsidRPr="00CE3CAD">
        <w:rPr>
          <w:rFonts w:hAnsi="Arial" w:cs="Arial"/>
          <w:sz w:val="22"/>
          <w:szCs w:val="22"/>
          <w:lang w:val="en-GB"/>
        </w:rPr>
        <w:t>s. please refer to ‘Who Pays Guidance’</w:t>
      </w:r>
      <w:r w:rsidRPr="00CE3CAD">
        <w:rPr>
          <w:rFonts w:hAnsi="Arial" w:cs="Arial"/>
          <w:color w:val="auto"/>
          <w:sz w:val="24"/>
          <w:szCs w:val="24"/>
          <w:lang w:eastAsia="en-US"/>
        </w:rPr>
        <w:t xml:space="preserve"> </w:t>
      </w:r>
      <w:hyperlink r:id="rId11" w:history="1">
        <w:r w:rsidRPr="00CE3CAD">
          <w:rPr>
            <w:rFonts w:hAnsi="Arial" w:cs="Arial"/>
            <w:color w:val="0000FF"/>
            <w:sz w:val="24"/>
            <w:szCs w:val="24"/>
            <w:u w:val="single"/>
            <w:lang w:eastAsia="en-US"/>
          </w:rPr>
          <w:t>NHS England » Who Pays?</w:t>
        </w:r>
      </w:hyperlink>
    </w:p>
    <w:p w14:paraId="62C4BF21" w14:textId="76F6F81D" w:rsidR="00BC7696" w:rsidRPr="00CE3CAD" w:rsidRDefault="00BC7696" w:rsidP="00BC7696">
      <w:pPr>
        <w:pStyle w:val="Level1Bullet"/>
        <w:numPr>
          <w:ilvl w:val="0"/>
          <w:numId w:val="1"/>
        </w:numPr>
        <w:tabs>
          <w:tab w:val="clear" w:pos="1134"/>
          <w:tab w:val="left" w:pos="1224"/>
          <w:tab w:val="left" w:pos="1276"/>
        </w:tabs>
        <w:spacing w:before="0" w:after="120"/>
        <w:ind w:left="360"/>
        <w:rPr>
          <w:rFonts w:hAnsi="Arial" w:cs="Arial"/>
          <w:sz w:val="22"/>
          <w:szCs w:val="22"/>
          <w:lang w:val="en-GB"/>
        </w:rPr>
      </w:pPr>
      <w:r w:rsidRPr="00CE3CAD">
        <w:rPr>
          <w:rFonts w:hAnsi="Arial" w:cs="Arial"/>
          <w:sz w:val="22"/>
          <w:szCs w:val="22"/>
          <w:lang w:val="en-GB"/>
        </w:rPr>
        <w:t xml:space="preserve">Challenges and Individual Decision Disputes submitted by individuals and/or legal representative, which should be referred to ‘Individual Requests to Review a Continuing Healthcare Eligibility Decision’ Policy. A copy of this document should be sent by the </w:t>
      </w:r>
      <w:r w:rsidR="00E271F0">
        <w:rPr>
          <w:rFonts w:hAnsi="Arial" w:cs="Arial"/>
          <w:sz w:val="22"/>
          <w:szCs w:val="22"/>
          <w:lang w:val="en-GB"/>
        </w:rPr>
        <w:t>ICB</w:t>
      </w:r>
      <w:r w:rsidRPr="00CE3CAD">
        <w:rPr>
          <w:rFonts w:hAnsi="Arial" w:cs="Arial"/>
          <w:sz w:val="22"/>
          <w:szCs w:val="22"/>
          <w:lang w:val="en-GB"/>
        </w:rPr>
        <w:t xml:space="preserve"> upon acknowledgement of a request to review an individual’s eligibility</w:t>
      </w:r>
    </w:p>
    <w:p w14:paraId="30E53C51" w14:textId="77777777" w:rsidR="00BC7696" w:rsidRPr="00CE3CAD" w:rsidRDefault="00BC7696" w:rsidP="00BC7696">
      <w:pPr>
        <w:pStyle w:val="Level1Bullet"/>
        <w:numPr>
          <w:ilvl w:val="0"/>
          <w:numId w:val="1"/>
        </w:numPr>
        <w:tabs>
          <w:tab w:val="clear" w:pos="1134"/>
          <w:tab w:val="left" w:pos="1649"/>
        </w:tabs>
        <w:spacing w:before="0" w:after="120"/>
        <w:ind w:left="360"/>
        <w:rPr>
          <w:rFonts w:hAnsi="Arial" w:cs="Arial"/>
          <w:sz w:val="22"/>
          <w:szCs w:val="22"/>
          <w:lang w:val="en-GB"/>
        </w:rPr>
      </w:pPr>
      <w:r w:rsidRPr="00CE3CAD">
        <w:rPr>
          <w:rFonts w:hAnsi="Arial" w:cs="Arial"/>
          <w:sz w:val="22"/>
          <w:szCs w:val="22"/>
          <w:lang w:val="en-GB"/>
        </w:rPr>
        <w:t xml:space="preserve">Complaints by individuals, their representatives or carers. These should be dealt with via the Organisational Complaints Procedure in accordance with the NHS England Complaints Policy. </w:t>
      </w:r>
    </w:p>
    <w:p w14:paraId="6547B568" w14:textId="77777777" w:rsidR="00BC7696" w:rsidRPr="00CE3CAD" w:rsidRDefault="00BC7696" w:rsidP="00BC7696">
      <w:pPr>
        <w:pStyle w:val="Heading2"/>
        <w:spacing w:after="120"/>
        <w:rPr>
          <w:rFonts w:ascii="Arial" w:hAnsi="Arial" w:cs="Arial"/>
          <w:color w:val="4F81BD" w:themeColor="accent1"/>
          <w:sz w:val="24"/>
          <w:szCs w:val="24"/>
        </w:rPr>
      </w:pPr>
      <w:bookmarkStart w:id="5" w:name="_Toc1121326"/>
      <w:r w:rsidRPr="00CE3CAD">
        <w:rPr>
          <w:rFonts w:ascii="Arial" w:hAnsi="Arial" w:cs="Arial"/>
          <w:color w:val="4F81BD" w:themeColor="accent1"/>
          <w:sz w:val="24"/>
          <w:szCs w:val="24"/>
        </w:rPr>
        <w:t>2.3</w:t>
      </w:r>
      <w:r w:rsidRPr="00CE3CAD">
        <w:rPr>
          <w:rFonts w:ascii="Arial" w:hAnsi="Arial" w:cs="Arial"/>
          <w:color w:val="4F81BD" w:themeColor="accent1"/>
          <w:sz w:val="24"/>
          <w:szCs w:val="24"/>
        </w:rPr>
        <w:tab/>
        <w:t>What is the organisational scope of this Inter-agency Disputes Policy?</w:t>
      </w:r>
      <w:bookmarkEnd w:id="5"/>
    </w:p>
    <w:p w14:paraId="0B0749A6" w14:textId="45E352B9" w:rsidR="00BC7696" w:rsidRPr="00CE3CAD" w:rsidRDefault="00BC7696" w:rsidP="00BC7696">
      <w:pPr>
        <w:pStyle w:val="Level1Text"/>
        <w:tabs>
          <w:tab w:val="left" w:pos="709"/>
        </w:tabs>
        <w:spacing w:before="0" w:after="120"/>
        <w:ind w:left="0"/>
        <w:jc w:val="both"/>
        <w:rPr>
          <w:rFonts w:hAnsi="Arial" w:cs="Arial"/>
          <w:lang w:val="en-GB"/>
        </w:rPr>
      </w:pPr>
      <w:r w:rsidRPr="00CE3CAD">
        <w:rPr>
          <w:rFonts w:hAnsi="Arial" w:cs="Arial"/>
          <w:lang w:val="en-GB"/>
        </w:rPr>
        <w:t xml:space="preserve">This Disputes Policy is administered by the Lincolnshire </w:t>
      </w:r>
      <w:r w:rsidR="00E271F0">
        <w:rPr>
          <w:rFonts w:hAnsi="Arial" w:cs="Arial"/>
          <w:lang w:val="en-GB"/>
        </w:rPr>
        <w:t>ICB</w:t>
      </w:r>
      <w:r w:rsidRPr="00CE3CAD">
        <w:rPr>
          <w:rFonts w:hAnsi="Arial" w:cs="Arial"/>
          <w:lang w:val="en-GB"/>
        </w:rPr>
        <w:t>.</w:t>
      </w:r>
    </w:p>
    <w:p w14:paraId="31A12A3D" w14:textId="60FC5783" w:rsidR="00BC7696" w:rsidRPr="00CE3CAD" w:rsidRDefault="00BC7696" w:rsidP="00BC7696">
      <w:pPr>
        <w:pStyle w:val="Level1Text"/>
        <w:tabs>
          <w:tab w:val="left" w:pos="709"/>
        </w:tabs>
        <w:spacing w:before="0" w:after="120"/>
        <w:ind w:left="0"/>
        <w:jc w:val="both"/>
        <w:rPr>
          <w:rFonts w:hAnsi="Arial" w:cs="Arial"/>
          <w:lang w:val="en-GB"/>
        </w:rPr>
      </w:pPr>
      <w:r w:rsidRPr="00CE3CAD">
        <w:rPr>
          <w:rFonts w:hAnsi="Arial" w:cs="Arial"/>
          <w:lang w:val="en-GB"/>
        </w:rPr>
        <w:t xml:space="preserve">This policy will apply where disputes arise involving Lincolnshire </w:t>
      </w:r>
      <w:r w:rsidR="00E271F0">
        <w:rPr>
          <w:rFonts w:hAnsi="Arial" w:cs="Arial"/>
          <w:lang w:val="en-GB"/>
        </w:rPr>
        <w:t>ICB</w:t>
      </w:r>
      <w:r w:rsidRPr="00CE3CAD">
        <w:rPr>
          <w:rFonts w:hAnsi="Arial" w:cs="Arial"/>
          <w:lang w:val="en-GB"/>
        </w:rPr>
        <w:t>, LCC and other out of area local authorities.</w:t>
      </w:r>
    </w:p>
    <w:p w14:paraId="0EDE4433" w14:textId="77777777" w:rsidR="00BC7696" w:rsidRPr="00CE3CAD" w:rsidRDefault="00BC7696" w:rsidP="00BC7696">
      <w:pPr>
        <w:pStyle w:val="Heading1"/>
        <w:numPr>
          <w:ilvl w:val="1"/>
          <w:numId w:val="7"/>
        </w:numPr>
        <w:spacing w:after="120"/>
        <w:rPr>
          <w:rFonts w:ascii="Arial" w:hAnsi="Arial" w:cs="Arial"/>
          <w:b w:val="0"/>
          <w:bCs w:val="0"/>
          <w:color w:val="4F81BD" w:themeColor="accent1"/>
          <w:sz w:val="24"/>
          <w:szCs w:val="24"/>
          <w:lang w:val="en-GB"/>
        </w:rPr>
      </w:pPr>
      <w:bookmarkStart w:id="6" w:name="_Toc1121327"/>
      <w:r w:rsidRPr="00CE3CAD">
        <w:rPr>
          <w:rFonts w:ascii="Arial" w:hAnsi="Arial" w:cs="Arial"/>
          <w:b w:val="0"/>
          <w:bCs w:val="0"/>
          <w:color w:val="4F81BD" w:themeColor="accent1"/>
          <w:sz w:val="24"/>
          <w:szCs w:val="24"/>
          <w:lang w:val="en-GB"/>
        </w:rPr>
        <w:t>P</w:t>
      </w:r>
      <w:bookmarkEnd w:id="6"/>
      <w:r w:rsidRPr="00CE3CAD">
        <w:rPr>
          <w:rFonts w:ascii="Arial" w:hAnsi="Arial" w:cs="Arial"/>
          <w:b w:val="0"/>
          <w:bCs w:val="0"/>
          <w:color w:val="4F81BD" w:themeColor="accent1"/>
          <w:sz w:val="24"/>
          <w:szCs w:val="24"/>
          <w:lang w:val="en-GB"/>
        </w:rPr>
        <w:t>rinciples underpinning the Inter-agency Dispute process</w:t>
      </w:r>
    </w:p>
    <w:p w14:paraId="7FEB0A6D" w14:textId="2417052B" w:rsidR="00BC7696" w:rsidRPr="00CE3CAD" w:rsidRDefault="00BC7696" w:rsidP="00BC7696">
      <w:pPr>
        <w:pStyle w:val="Level1Text"/>
        <w:spacing w:before="0" w:after="120"/>
        <w:ind w:left="0"/>
        <w:jc w:val="both"/>
        <w:rPr>
          <w:rFonts w:hAnsi="Arial" w:cs="Arial"/>
          <w:lang w:val="en-GB"/>
        </w:rPr>
      </w:pPr>
      <w:r w:rsidRPr="00CE3CAD">
        <w:rPr>
          <w:rFonts w:hAnsi="Arial" w:cs="Arial"/>
          <w:lang w:val="en-GB"/>
        </w:rPr>
        <w:t xml:space="preserve">A fundamental principle within the National Framework is for </w:t>
      </w:r>
      <w:r w:rsidR="00E271F0">
        <w:rPr>
          <w:rFonts w:hAnsi="Arial" w:cs="Arial"/>
          <w:lang w:val="en-GB"/>
        </w:rPr>
        <w:t>ICB</w:t>
      </w:r>
      <w:r w:rsidRPr="00CE3CAD">
        <w:rPr>
          <w:rFonts w:hAnsi="Arial" w:cs="Arial"/>
          <w:lang w:val="en-GB"/>
        </w:rPr>
        <w:t>s and local authorities to minimise the need to invoke formal inter-agency dispute resolution procedures and to always attempt to resolve inter-agency disagreements at an early and preferably informal stage.</w:t>
      </w:r>
    </w:p>
    <w:p w14:paraId="76FBF6BF" w14:textId="5BD345E3" w:rsidR="00BC7696" w:rsidRPr="00CE3CAD" w:rsidRDefault="00BC7696" w:rsidP="00BC7696">
      <w:pPr>
        <w:pStyle w:val="Level1Text"/>
        <w:tabs>
          <w:tab w:val="left" w:pos="709"/>
        </w:tabs>
        <w:spacing w:before="0" w:after="120"/>
        <w:ind w:left="0"/>
        <w:jc w:val="both"/>
        <w:rPr>
          <w:rFonts w:hAnsi="Arial" w:cs="Arial"/>
          <w:lang w:val="en-GB"/>
        </w:rPr>
      </w:pPr>
      <w:r w:rsidRPr="00CE3CAD">
        <w:rPr>
          <w:rFonts w:hAnsi="Arial" w:cs="Arial"/>
          <w:lang w:val="en-GB"/>
        </w:rPr>
        <w:t xml:space="preserve">This Disputes Policy agreed by Lincolnshire </w:t>
      </w:r>
      <w:r w:rsidR="00E271F0">
        <w:rPr>
          <w:rFonts w:hAnsi="Arial" w:cs="Arial"/>
          <w:lang w:val="en-GB"/>
        </w:rPr>
        <w:t>ICB</w:t>
      </w:r>
      <w:r w:rsidRPr="00CE3CAD">
        <w:rPr>
          <w:rFonts w:hAnsi="Arial" w:cs="Arial"/>
          <w:lang w:val="en-GB"/>
        </w:rPr>
        <w:t xml:space="preserve"> and LCC includes an informal and a formal approach. They will work together to ensure that </w:t>
      </w:r>
      <w:proofErr w:type="gramStart"/>
      <w:r w:rsidRPr="00CE3CAD">
        <w:rPr>
          <w:rFonts w:hAnsi="Arial" w:cs="Arial"/>
          <w:lang w:val="en-GB"/>
        </w:rPr>
        <w:t>the majority of</w:t>
      </w:r>
      <w:proofErr w:type="gramEnd"/>
      <w:r w:rsidRPr="00CE3CAD">
        <w:rPr>
          <w:rFonts w:hAnsi="Arial" w:cs="Arial"/>
          <w:lang w:val="en-GB"/>
        </w:rPr>
        <w:t xml:space="preserve"> disputes are resolved through the informal process in a timely and efficient manner.</w:t>
      </w:r>
    </w:p>
    <w:p w14:paraId="3B360708" w14:textId="77777777" w:rsidR="00BC7696" w:rsidRPr="00CE3CAD" w:rsidRDefault="00BC7696" w:rsidP="00BC7696">
      <w:pPr>
        <w:pStyle w:val="Level1Text"/>
        <w:tabs>
          <w:tab w:val="left" w:pos="709"/>
        </w:tabs>
        <w:spacing w:before="0" w:after="120"/>
        <w:ind w:left="0"/>
        <w:jc w:val="both"/>
        <w:rPr>
          <w:rFonts w:hAnsi="Arial" w:cs="Arial"/>
          <w:lang w:val="en-GB"/>
        </w:rPr>
      </w:pPr>
      <w:r w:rsidRPr="00CE3CAD">
        <w:rPr>
          <w:rFonts w:hAnsi="Arial" w:cs="Arial"/>
          <w:lang w:val="en-GB"/>
        </w:rPr>
        <w:t xml:space="preserve">During both the informal and the formal disputes process, the CHC Lead Coordinator will act as the nominated person to keep the individual and or their family/representative informed as to the progress of the dispute and, when appropriate, of the timescales for the next steps. </w:t>
      </w:r>
    </w:p>
    <w:p w14:paraId="22B88B4F" w14:textId="77777777" w:rsidR="00BC7696" w:rsidRPr="00CE3CAD" w:rsidRDefault="00BC7696" w:rsidP="00BC7696">
      <w:pPr>
        <w:pStyle w:val="Level1Text"/>
        <w:tabs>
          <w:tab w:val="left" w:pos="709"/>
        </w:tabs>
        <w:spacing w:before="0" w:after="120"/>
        <w:ind w:left="0"/>
        <w:jc w:val="both"/>
        <w:rPr>
          <w:rFonts w:hAnsi="Arial" w:cs="Arial"/>
          <w:lang w:val="en-GB"/>
        </w:rPr>
      </w:pPr>
    </w:p>
    <w:p w14:paraId="4936CCB3" w14:textId="77777777" w:rsidR="00DE0F46" w:rsidRPr="00CE3CAD" w:rsidRDefault="00DE0F46" w:rsidP="00BC7696">
      <w:pPr>
        <w:pStyle w:val="Heading1"/>
        <w:spacing w:after="120"/>
        <w:rPr>
          <w:rFonts w:ascii="Arial" w:hAnsi="Arial" w:cs="Arial"/>
          <w:color w:val="0070C0"/>
        </w:rPr>
      </w:pPr>
      <w:bookmarkStart w:id="7" w:name="_Toc1121344"/>
    </w:p>
    <w:p w14:paraId="1CC52187" w14:textId="2A70ECBD" w:rsidR="00BC7696" w:rsidRPr="00CE3CAD" w:rsidRDefault="009321AF" w:rsidP="00BC7696">
      <w:pPr>
        <w:pStyle w:val="Heading1"/>
        <w:spacing w:after="120"/>
        <w:rPr>
          <w:rFonts w:ascii="Arial" w:hAnsi="Arial" w:cs="Arial"/>
          <w:color w:val="4F81BD" w:themeColor="accent1"/>
        </w:rPr>
      </w:pPr>
      <w:r w:rsidRPr="00CE3CAD">
        <w:rPr>
          <w:rFonts w:ascii="Arial" w:hAnsi="Arial" w:cs="Arial"/>
          <w:color w:val="4F81BD" w:themeColor="accent1"/>
        </w:rPr>
        <w:t>3</w:t>
      </w:r>
      <w:r w:rsidR="00B73C32" w:rsidRPr="00CE3CAD">
        <w:rPr>
          <w:rFonts w:ascii="Arial" w:hAnsi="Arial" w:cs="Arial"/>
          <w:color w:val="4F81BD" w:themeColor="accent1"/>
        </w:rPr>
        <w:t>.0</w:t>
      </w:r>
      <w:r w:rsidR="00BC7696" w:rsidRPr="00CE3CAD">
        <w:rPr>
          <w:rFonts w:ascii="Arial" w:hAnsi="Arial" w:cs="Arial"/>
          <w:color w:val="4F81BD" w:themeColor="accent1"/>
        </w:rPr>
        <w:tab/>
        <w:t>INTERIM CARE PROVISION</w:t>
      </w:r>
      <w:bookmarkEnd w:id="7"/>
    </w:p>
    <w:p w14:paraId="51A40AFD" w14:textId="3EDBBCA9" w:rsidR="00BC7696" w:rsidRPr="00CE3CAD" w:rsidRDefault="00BC7696" w:rsidP="00BC7696">
      <w:pPr>
        <w:pStyle w:val="NoSpacing"/>
        <w:spacing w:after="120"/>
        <w:jc w:val="both"/>
        <w:rPr>
          <w:rFonts w:ascii="Arial" w:hAnsi="Arial" w:cs="Arial"/>
          <w:iCs/>
        </w:rPr>
      </w:pPr>
      <w:r w:rsidRPr="00CE3CAD">
        <w:rPr>
          <w:rFonts w:ascii="Arial" w:hAnsi="Arial" w:cs="Arial"/>
          <w:iCs/>
        </w:rPr>
        <w:t xml:space="preserve">In cases where there is a dispute about an individual's eligibility for NHS continuing healthcare, the National Framework (Paragraph 211) states, </w:t>
      </w:r>
      <w:r w:rsidRPr="00CE3CAD">
        <w:rPr>
          <w:rFonts w:ascii="Arial" w:hAnsi="Arial" w:cs="Arial"/>
          <w:i/>
          <w:iCs/>
        </w:rPr>
        <w:t xml:space="preserve">'it should be remembered that decisions regarding eligibility for NHS Continuing Healthcare are the responsibility of the </w:t>
      </w:r>
      <w:r w:rsidR="00E271F0">
        <w:rPr>
          <w:rFonts w:ascii="Arial" w:hAnsi="Arial" w:cs="Arial"/>
          <w:i/>
          <w:iCs/>
        </w:rPr>
        <w:t>ICB</w:t>
      </w:r>
      <w:r w:rsidRPr="00CE3CAD">
        <w:rPr>
          <w:rFonts w:ascii="Arial" w:hAnsi="Arial" w:cs="Arial"/>
          <w:i/>
          <w:iCs/>
        </w:rPr>
        <w:t xml:space="preserve">, who may choose to make the decision before a multi-agency agreement has been resolved. In such cases it is possible that the formal disputes resolution process will have to be concluded after the individual has been given a decision by the </w:t>
      </w:r>
      <w:r w:rsidR="00E271F0">
        <w:rPr>
          <w:rFonts w:ascii="Arial" w:hAnsi="Arial" w:cs="Arial"/>
          <w:i/>
          <w:iCs/>
        </w:rPr>
        <w:t>ICB</w:t>
      </w:r>
      <w:r w:rsidRPr="00CE3CAD">
        <w:rPr>
          <w:rFonts w:ascii="Arial" w:hAnsi="Arial" w:cs="Arial"/>
          <w:i/>
          <w:iCs/>
        </w:rPr>
        <w:t>'</w:t>
      </w:r>
      <w:r w:rsidRPr="00CE3CAD">
        <w:rPr>
          <w:rFonts w:ascii="Arial" w:hAnsi="Arial" w:cs="Arial"/>
          <w:iCs/>
        </w:rPr>
        <w:t xml:space="preserve">. </w:t>
      </w:r>
    </w:p>
    <w:p w14:paraId="1D4668AC" w14:textId="77777777" w:rsidR="00BC7696" w:rsidRPr="00CE3CAD" w:rsidRDefault="00BC7696" w:rsidP="00BC7696">
      <w:pPr>
        <w:pStyle w:val="NoSpacing"/>
        <w:spacing w:after="120"/>
        <w:jc w:val="both"/>
        <w:rPr>
          <w:rFonts w:ascii="Arial" w:hAnsi="Arial" w:cs="Arial"/>
          <w:iCs/>
        </w:rPr>
      </w:pPr>
      <w:r w:rsidRPr="00CE3CAD">
        <w:rPr>
          <w:rFonts w:ascii="Arial" w:hAnsi="Arial" w:cs="Arial"/>
          <w:iCs/>
        </w:rPr>
        <w:t>The National Framework, in Annex E, provides further details on responsibilities when a decision on NHS continuing healthcare is awaited or is disputed.</w:t>
      </w:r>
    </w:p>
    <w:p w14:paraId="312A6361" w14:textId="77777777" w:rsidR="00BC7696" w:rsidRPr="00CE3CAD" w:rsidRDefault="00BC7696" w:rsidP="00BC7696">
      <w:pPr>
        <w:pStyle w:val="NoSpacing"/>
        <w:spacing w:after="120"/>
        <w:jc w:val="both"/>
        <w:rPr>
          <w:rFonts w:ascii="Arial" w:hAnsi="Arial" w:cs="Arial"/>
          <w:iCs/>
        </w:rPr>
      </w:pPr>
      <w:r w:rsidRPr="00CE3CAD">
        <w:rPr>
          <w:rFonts w:ascii="Arial" w:hAnsi="Arial" w:cs="Arial"/>
          <w:iCs/>
        </w:rPr>
        <w:t>Where the individual is already in receipt of a care package consideration must be given as to whether additional services need to be provided by either health and/or social care, while waiting resolution of the dispute.</w:t>
      </w:r>
    </w:p>
    <w:p w14:paraId="4233525C" w14:textId="77777777" w:rsidR="00BC7696" w:rsidRPr="00CE3CAD" w:rsidRDefault="00BC7696" w:rsidP="00BC7696">
      <w:pPr>
        <w:pStyle w:val="NoSpacing"/>
        <w:spacing w:after="120"/>
        <w:jc w:val="both"/>
        <w:rPr>
          <w:rFonts w:ascii="Arial" w:hAnsi="Arial" w:cs="Arial"/>
          <w:iCs/>
        </w:rPr>
      </w:pPr>
      <w:r w:rsidRPr="00CE3CAD">
        <w:rPr>
          <w:rFonts w:ascii="Arial" w:hAnsi="Arial" w:cs="Arial"/>
          <w:iCs/>
        </w:rPr>
        <w:t>In cases, where at the time the dispute is raised, the individual has not been receiving a package of care interim services should be provided by health and/or social care to meet assessed needs.</w:t>
      </w:r>
    </w:p>
    <w:p w14:paraId="45EB7042" w14:textId="77777777" w:rsidR="00BC7696" w:rsidRPr="00CE3CAD" w:rsidRDefault="00BC7696" w:rsidP="00BC7696">
      <w:pPr>
        <w:pStyle w:val="NoSpacing"/>
        <w:spacing w:after="120"/>
        <w:jc w:val="both"/>
        <w:rPr>
          <w:rFonts w:ascii="Arial" w:hAnsi="Arial" w:cs="Arial"/>
          <w:iCs/>
        </w:rPr>
      </w:pPr>
      <w:r w:rsidRPr="00CE3CAD">
        <w:rPr>
          <w:rFonts w:ascii="Arial" w:hAnsi="Arial" w:cs="Arial"/>
          <w:iCs/>
        </w:rPr>
        <w:t>Where interim services are required to meet newly assessed needs, health and social care will work collaboratively and jointly to consider the needs of the individual that have been identified and agree responsibility for the provision and funding of the services.</w:t>
      </w:r>
    </w:p>
    <w:p w14:paraId="743E6FD6" w14:textId="77777777" w:rsidR="00BC7696" w:rsidRPr="00CE3CAD" w:rsidRDefault="00BC7696" w:rsidP="00BC7696">
      <w:pPr>
        <w:pStyle w:val="NoSpacing"/>
        <w:spacing w:after="120"/>
        <w:jc w:val="both"/>
        <w:rPr>
          <w:rFonts w:ascii="Arial" w:hAnsi="Arial" w:cs="Arial"/>
          <w:iCs/>
        </w:rPr>
      </w:pPr>
      <w:r w:rsidRPr="00CE3CAD">
        <w:rPr>
          <w:rFonts w:ascii="Arial" w:hAnsi="Arial" w:cs="Arial"/>
          <w:iCs/>
        </w:rPr>
        <w:t xml:space="preserve">Both parties must consider whether any of the needs identified are above the lawful limits of what the local authority can be expected to provide. </w:t>
      </w:r>
    </w:p>
    <w:p w14:paraId="1A55591C" w14:textId="299C2B8C" w:rsidR="00BC7696" w:rsidRPr="00CE3CAD" w:rsidRDefault="00BC7696" w:rsidP="00BC7696">
      <w:pPr>
        <w:pStyle w:val="NoSpacing"/>
        <w:spacing w:after="120"/>
        <w:jc w:val="both"/>
        <w:rPr>
          <w:rFonts w:ascii="Arial" w:hAnsi="Arial" w:cs="Arial"/>
          <w:iCs/>
        </w:rPr>
      </w:pPr>
      <w:r w:rsidRPr="00CE3CAD">
        <w:rPr>
          <w:rFonts w:ascii="Arial" w:hAnsi="Arial" w:cs="Arial"/>
          <w:iCs/>
        </w:rPr>
        <w:t xml:space="preserve">The funding of any care services during the dispute process will be on a 'funding without prejudice' basis </w:t>
      </w:r>
      <w:proofErr w:type="gramStart"/>
      <w:r w:rsidRPr="00CE3CAD">
        <w:rPr>
          <w:rFonts w:ascii="Arial" w:hAnsi="Arial" w:cs="Arial"/>
          <w:iCs/>
        </w:rPr>
        <w:t>i.e.</w:t>
      </w:r>
      <w:proofErr w:type="gramEnd"/>
      <w:r w:rsidRPr="00CE3CAD">
        <w:rPr>
          <w:rFonts w:ascii="Arial" w:hAnsi="Arial" w:cs="Arial"/>
          <w:iCs/>
        </w:rPr>
        <w:t xml:space="preserve"> </w:t>
      </w:r>
      <w:r w:rsidR="00B73C32" w:rsidRPr="00CE3CAD">
        <w:rPr>
          <w:rFonts w:ascii="Arial" w:hAnsi="Arial" w:cs="Arial"/>
          <w:iCs/>
        </w:rPr>
        <w:t>providing,</w:t>
      </w:r>
      <w:r w:rsidRPr="00CE3CAD">
        <w:rPr>
          <w:rFonts w:ascii="Arial" w:hAnsi="Arial" w:cs="Arial"/>
          <w:iCs/>
        </w:rPr>
        <w:t xml:space="preserve"> and funding interim care services does not commit either organisation to the on-going provision and funding of care following resolution of the dispute.</w:t>
      </w:r>
    </w:p>
    <w:p w14:paraId="57483E18" w14:textId="79C6F20B" w:rsidR="00BC7696" w:rsidRPr="00CE3CAD" w:rsidRDefault="00BC7696" w:rsidP="00BC7696">
      <w:pPr>
        <w:pStyle w:val="NoSpacing"/>
        <w:spacing w:after="120"/>
        <w:jc w:val="both"/>
        <w:rPr>
          <w:rFonts w:ascii="Arial" w:hAnsi="Arial" w:cs="Arial"/>
          <w:iCs/>
        </w:rPr>
      </w:pPr>
      <w:r w:rsidRPr="00CE3CAD">
        <w:rPr>
          <w:rFonts w:ascii="Arial" w:hAnsi="Arial" w:cs="Arial"/>
          <w:iCs/>
        </w:rPr>
        <w:t xml:space="preserve">The NHS </w:t>
      </w:r>
      <w:proofErr w:type="gramStart"/>
      <w:r w:rsidRPr="00CE3CAD">
        <w:rPr>
          <w:rFonts w:ascii="Arial" w:hAnsi="Arial" w:cs="Arial"/>
          <w:iCs/>
        </w:rPr>
        <w:t>28 day</w:t>
      </w:r>
      <w:proofErr w:type="gramEnd"/>
      <w:r w:rsidRPr="00CE3CAD">
        <w:rPr>
          <w:rFonts w:ascii="Arial" w:hAnsi="Arial" w:cs="Arial"/>
          <w:iCs/>
        </w:rPr>
        <w:t xml:space="preserve"> Key Performance Indicator (KPI) must be adhered to, therefore in cases where there is an Inter-Agency dispute the </w:t>
      </w:r>
      <w:r w:rsidR="00E271F0">
        <w:rPr>
          <w:rFonts w:ascii="Arial" w:hAnsi="Arial" w:cs="Arial"/>
          <w:iCs/>
        </w:rPr>
        <w:t>ICB</w:t>
      </w:r>
      <w:r w:rsidRPr="00CE3CAD">
        <w:rPr>
          <w:rFonts w:ascii="Arial" w:hAnsi="Arial" w:cs="Arial"/>
          <w:iCs/>
        </w:rPr>
        <w:t xml:space="preserve"> will make a decision pending the outcome of the Dispute and this will stop the 28 day clock in regards to the KPI (this does not affect Adult Care performance indicators).</w:t>
      </w:r>
    </w:p>
    <w:p w14:paraId="0982FE08" w14:textId="3E64AB3F" w:rsidR="00BC7696" w:rsidRPr="00CE3CAD" w:rsidRDefault="009321AF" w:rsidP="00BC7696">
      <w:pPr>
        <w:pStyle w:val="Heading2"/>
        <w:spacing w:after="120"/>
        <w:rPr>
          <w:rFonts w:ascii="Arial" w:hAnsi="Arial" w:cs="Arial"/>
          <w:color w:val="4F81BD" w:themeColor="accent1"/>
          <w:sz w:val="24"/>
          <w:szCs w:val="24"/>
        </w:rPr>
      </w:pPr>
      <w:r w:rsidRPr="00CE3CAD">
        <w:rPr>
          <w:rFonts w:ascii="Arial" w:hAnsi="Arial" w:cs="Arial"/>
          <w:color w:val="4F81BD" w:themeColor="accent1"/>
          <w:sz w:val="24"/>
          <w:szCs w:val="24"/>
        </w:rPr>
        <w:t>3</w:t>
      </w:r>
      <w:r w:rsidR="00BC7696" w:rsidRPr="00CE3CAD">
        <w:rPr>
          <w:rFonts w:ascii="Arial" w:hAnsi="Arial" w:cs="Arial"/>
          <w:color w:val="4F81BD" w:themeColor="accent1"/>
          <w:sz w:val="24"/>
          <w:szCs w:val="24"/>
        </w:rPr>
        <w:t>.1</w:t>
      </w:r>
      <w:r w:rsidR="00BC7696" w:rsidRPr="00CE3CAD">
        <w:rPr>
          <w:rFonts w:ascii="Arial" w:hAnsi="Arial" w:cs="Arial"/>
          <w:color w:val="4F81BD" w:themeColor="accent1"/>
          <w:sz w:val="24"/>
          <w:szCs w:val="24"/>
        </w:rPr>
        <w:tab/>
        <w:t>Individual's financial contribution for interim community care provision</w:t>
      </w:r>
    </w:p>
    <w:p w14:paraId="01582E2F" w14:textId="77777777" w:rsidR="00BC7696" w:rsidRPr="00CE3CAD" w:rsidRDefault="00BC7696" w:rsidP="00BC7696">
      <w:pPr>
        <w:pStyle w:val="NoSpacing"/>
        <w:spacing w:after="120"/>
        <w:jc w:val="both"/>
        <w:rPr>
          <w:rFonts w:ascii="Arial" w:hAnsi="Arial" w:cs="Arial"/>
          <w:iCs/>
        </w:rPr>
      </w:pPr>
      <w:r w:rsidRPr="00CE3CAD">
        <w:rPr>
          <w:rFonts w:ascii="Arial" w:hAnsi="Arial" w:cs="Arial"/>
          <w:iCs/>
        </w:rPr>
        <w:t>If at the time LCC raise a dispute the individual is in receipt of community care services, both LCC and the individual will continue to pay their agreed contributions.</w:t>
      </w:r>
    </w:p>
    <w:p w14:paraId="2EF07A2C" w14:textId="77777777" w:rsidR="00BC7696" w:rsidRPr="00CE3CAD" w:rsidRDefault="00BC7696" w:rsidP="00BC7696">
      <w:pPr>
        <w:pStyle w:val="NoSpacing"/>
        <w:spacing w:after="120"/>
        <w:jc w:val="both"/>
        <w:rPr>
          <w:rFonts w:ascii="Arial" w:hAnsi="Arial" w:cs="Arial"/>
          <w:iCs/>
        </w:rPr>
      </w:pPr>
      <w:r w:rsidRPr="00CE3CAD">
        <w:rPr>
          <w:rFonts w:ascii="Arial" w:hAnsi="Arial" w:cs="Arial"/>
          <w:iCs/>
        </w:rPr>
        <w:t>Where it is identified that the individual requires additional community care services to meet their assessed needs LCC will pay the full cost of the additional services. The individual will not be required to pay towards the cost of the additional care provision.</w:t>
      </w:r>
    </w:p>
    <w:p w14:paraId="5A8BAD32" w14:textId="77777777" w:rsidR="00BC7696" w:rsidRPr="00CE3CAD" w:rsidRDefault="00BC7696" w:rsidP="00BC7696">
      <w:pPr>
        <w:pStyle w:val="NoSpacing"/>
        <w:spacing w:after="120"/>
        <w:jc w:val="both"/>
        <w:rPr>
          <w:rFonts w:ascii="Arial" w:hAnsi="Arial" w:cs="Arial"/>
          <w:iCs/>
        </w:rPr>
      </w:pPr>
      <w:r w:rsidRPr="00CE3CAD">
        <w:rPr>
          <w:rFonts w:ascii="Arial" w:hAnsi="Arial" w:cs="Arial"/>
          <w:iCs/>
        </w:rPr>
        <w:t xml:space="preserve">The individual will not pay towards the cost of any interim community care services while in Dispute, however if the Local Authority provide a statutory provision the financial Policy will apply. </w:t>
      </w:r>
    </w:p>
    <w:p w14:paraId="35FD7E37" w14:textId="77777777" w:rsidR="009321AF" w:rsidRPr="00CE3CAD" w:rsidRDefault="009321AF" w:rsidP="00BC7696">
      <w:pPr>
        <w:pStyle w:val="Heading1"/>
        <w:spacing w:after="120"/>
        <w:rPr>
          <w:rFonts w:ascii="Arial" w:hAnsi="Arial" w:cs="Arial"/>
          <w:color w:val="0070C0"/>
          <w:lang w:val="en-GB"/>
        </w:rPr>
      </w:pPr>
      <w:bookmarkStart w:id="8" w:name="_Toc1121328"/>
    </w:p>
    <w:p w14:paraId="0876E7EE" w14:textId="7187CC69" w:rsidR="009321AF" w:rsidRPr="00CE3CAD" w:rsidRDefault="009321AF" w:rsidP="00BC7696">
      <w:pPr>
        <w:pStyle w:val="Heading1"/>
        <w:spacing w:after="120"/>
        <w:rPr>
          <w:rFonts w:ascii="Arial" w:hAnsi="Arial" w:cs="Arial"/>
          <w:color w:val="0070C0"/>
          <w:lang w:val="en-GB"/>
        </w:rPr>
      </w:pPr>
    </w:p>
    <w:p w14:paraId="01B9DD72" w14:textId="52711749" w:rsidR="009321AF" w:rsidRPr="00CE3CAD" w:rsidRDefault="009321AF" w:rsidP="009321AF">
      <w:pPr>
        <w:rPr>
          <w:rFonts w:ascii="Arial" w:hAnsi="Arial" w:cs="Arial"/>
        </w:rPr>
      </w:pPr>
    </w:p>
    <w:p w14:paraId="57972031" w14:textId="77777777" w:rsidR="009321AF" w:rsidRPr="00CE3CAD" w:rsidRDefault="009321AF" w:rsidP="009321AF">
      <w:pPr>
        <w:rPr>
          <w:rFonts w:ascii="Arial" w:hAnsi="Arial" w:cs="Arial"/>
        </w:rPr>
      </w:pPr>
    </w:p>
    <w:p w14:paraId="10AFD52F" w14:textId="4EA6EB02" w:rsidR="009321AF" w:rsidRPr="00CE3CAD" w:rsidRDefault="009321AF" w:rsidP="00B73C32">
      <w:pPr>
        <w:pStyle w:val="Heading1"/>
        <w:spacing w:after="120"/>
        <w:rPr>
          <w:rFonts w:ascii="Arial" w:hAnsi="Arial" w:cs="Arial"/>
          <w:color w:val="4F81BD" w:themeColor="accent1"/>
          <w:lang w:val="en-GB"/>
        </w:rPr>
      </w:pPr>
      <w:r w:rsidRPr="00CE3CAD">
        <w:rPr>
          <w:rFonts w:ascii="Arial" w:hAnsi="Arial" w:cs="Arial"/>
          <w:color w:val="4F81BD" w:themeColor="accent1"/>
          <w:lang w:val="en-GB"/>
        </w:rPr>
        <w:lastRenderedPageBreak/>
        <w:t>4</w:t>
      </w:r>
      <w:r w:rsidR="00B73C32" w:rsidRPr="00CE3CAD">
        <w:rPr>
          <w:rFonts w:ascii="Arial" w:hAnsi="Arial" w:cs="Arial"/>
          <w:color w:val="4F81BD" w:themeColor="accent1"/>
          <w:lang w:val="en-GB"/>
        </w:rPr>
        <w:t>.0</w:t>
      </w:r>
      <w:r w:rsidRPr="00CE3CAD">
        <w:rPr>
          <w:rFonts w:ascii="Arial" w:hAnsi="Arial" w:cs="Arial"/>
          <w:color w:val="4F81BD" w:themeColor="accent1"/>
          <w:lang w:val="en-GB"/>
        </w:rPr>
        <w:t xml:space="preserve">   </w:t>
      </w:r>
      <w:r w:rsidR="00B73C32" w:rsidRPr="00CE3CAD">
        <w:rPr>
          <w:rFonts w:ascii="Arial" w:hAnsi="Arial" w:cs="Arial"/>
          <w:color w:val="4F81BD" w:themeColor="accent1"/>
          <w:lang w:val="en-GB"/>
        </w:rPr>
        <w:t xml:space="preserve">  </w:t>
      </w:r>
      <w:r w:rsidR="00BC7696" w:rsidRPr="00CE3CAD">
        <w:rPr>
          <w:rFonts w:ascii="Arial" w:hAnsi="Arial" w:cs="Arial"/>
          <w:color w:val="4F81BD" w:themeColor="accent1"/>
          <w:lang w:val="en-GB"/>
        </w:rPr>
        <w:t>ELIGIBILITY DISPUTE PROCESS</w:t>
      </w:r>
      <w:bookmarkEnd w:id="8"/>
    </w:p>
    <w:p w14:paraId="74927AC6" w14:textId="77777777" w:rsidR="00A862B5" w:rsidRPr="00CE3CAD" w:rsidRDefault="00A862B5" w:rsidP="00A862B5">
      <w:pPr>
        <w:rPr>
          <w:rFonts w:ascii="Arial" w:hAnsi="Arial" w:cs="Arial"/>
        </w:rPr>
      </w:pPr>
    </w:p>
    <w:p w14:paraId="413965AC" w14:textId="2831BBF4" w:rsidR="00BC7696" w:rsidRPr="00CE3CAD" w:rsidRDefault="009321AF" w:rsidP="00BC7696">
      <w:pPr>
        <w:pStyle w:val="Heading2"/>
        <w:spacing w:after="120"/>
        <w:rPr>
          <w:rFonts w:ascii="Arial" w:hAnsi="Arial" w:cs="Arial"/>
          <w:color w:val="4F81BD" w:themeColor="accent1"/>
          <w:sz w:val="24"/>
          <w:szCs w:val="24"/>
        </w:rPr>
      </w:pPr>
      <w:bookmarkStart w:id="9" w:name="_Toc1121329"/>
      <w:r w:rsidRPr="00CE3CAD">
        <w:rPr>
          <w:rFonts w:ascii="Arial" w:hAnsi="Arial" w:cs="Arial"/>
          <w:color w:val="4F81BD" w:themeColor="accent1"/>
          <w:sz w:val="24"/>
          <w:szCs w:val="24"/>
        </w:rPr>
        <w:t>4</w:t>
      </w:r>
      <w:r w:rsidR="00BC7696" w:rsidRPr="00CE3CAD">
        <w:rPr>
          <w:rFonts w:ascii="Arial" w:hAnsi="Arial" w:cs="Arial"/>
          <w:color w:val="4F81BD" w:themeColor="accent1"/>
          <w:sz w:val="24"/>
          <w:szCs w:val="24"/>
        </w:rPr>
        <w:t>.1</w:t>
      </w:r>
      <w:r w:rsidR="00BC7696" w:rsidRPr="00CE3CAD">
        <w:rPr>
          <w:rFonts w:ascii="Arial" w:hAnsi="Arial" w:cs="Arial"/>
          <w:color w:val="4F81BD" w:themeColor="accent1"/>
          <w:sz w:val="24"/>
          <w:szCs w:val="24"/>
        </w:rPr>
        <w:tab/>
        <w:t>Informal Dispute Process</w:t>
      </w:r>
      <w:bookmarkEnd w:id="9"/>
    </w:p>
    <w:p w14:paraId="51FE57C4" w14:textId="77777777" w:rsidR="00BC7696" w:rsidRPr="00CE3CAD" w:rsidRDefault="00BC7696" w:rsidP="00BC7696">
      <w:pPr>
        <w:pStyle w:val="Default"/>
        <w:spacing w:after="120"/>
        <w:jc w:val="both"/>
        <w:rPr>
          <w:rStyle w:val="Strong"/>
          <w:rFonts w:ascii="Arial" w:hAnsi="Arial" w:cs="Arial"/>
          <w:b w:val="0"/>
          <w:bCs w:val="0"/>
        </w:rPr>
      </w:pPr>
      <w:r w:rsidRPr="00CE3CAD">
        <w:rPr>
          <w:rStyle w:val="Strong"/>
          <w:rFonts w:ascii="Arial" w:hAnsi="Arial" w:cs="Arial"/>
          <w:b w:val="0"/>
          <w:bCs w:val="0"/>
        </w:rPr>
        <w:t>The purpose of the informal stage of the disputes process is to enable health and adult social care practitioners to resolve differences of opinion when making a recommendation on an individual's eligibility for CHC at an operational level.</w:t>
      </w:r>
      <w:r w:rsidRPr="00CE3CAD">
        <w:rPr>
          <w:rStyle w:val="Strong"/>
          <w:rFonts w:ascii="Arial" w:hAnsi="Arial" w:cs="Arial"/>
          <w:b w:val="0"/>
          <w:bCs w:val="0"/>
          <w:i/>
        </w:rPr>
        <w:t xml:space="preserve"> </w:t>
      </w:r>
      <w:r w:rsidRPr="00CE3CAD">
        <w:rPr>
          <w:rStyle w:val="Strong"/>
          <w:rFonts w:ascii="Arial" w:hAnsi="Arial" w:cs="Arial"/>
          <w:b w:val="0"/>
          <w:bCs w:val="0"/>
        </w:rPr>
        <w:t>It is anticipated this will have a positive impact on the individual's experience of the CHC process.</w:t>
      </w:r>
    </w:p>
    <w:p w14:paraId="2579E3B4" w14:textId="5852924E" w:rsidR="00BC7696" w:rsidRPr="00CE3CAD" w:rsidRDefault="00B73C32" w:rsidP="00BC7696">
      <w:pPr>
        <w:pStyle w:val="Heading2"/>
        <w:spacing w:after="120"/>
        <w:rPr>
          <w:rFonts w:ascii="Arial" w:eastAsia="Calibri" w:hAnsi="Arial" w:cs="Arial"/>
          <w:color w:val="4F81BD" w:themeColor="accent1"/>
          <w:sz w:val="24"/>
          <w:szCs w:val="24"/>
        </w:rPr>
      </w:pPr>
      <w:bookmarkStart w:id="10" w:name="_Toc1121330"/>
      <w:r w:rsidRPr="00CE3CAD">
        <w:rPr>
          <w:rFonts w:ascii="Arial" w:eastAsia="Calibri" w:hAnsi="Arial" w:cs="Arial"/>
          <w:color w:val="4F81BD" w:themeColor="accent1"/>
          <w:sz w:val="24"/>
          <w:szCs w:val="24"/>
        </w:rPr>
        <w:t>4</w:t>
      </w:r>
      <w:r w:rsidR="00BC7696" w:rsidRPr="00CE3CAD">
        <w:rPr>
          <w:rFonts w:ascii="Arial" w:eastAsia="Calibri" w:hAnsi="Arial" w:cs="Arial"/>
          <w:color w:val="4F81BD" w:themeColor="accent1"/>
          <w:sz w:val="24"/>
          <w:szCs w:val="24"/>
        </w:rPr>
        <w:t>.2</w:t>
      </w:r>
      <w:r w:rsidR="00BC7696" w:rsidRPr="00CE3CAD">
        <w:rPr>
          <w:rFonts w:ascii="Arial" w:eastAsia="Calibri" w:hAnsi="Arial" w:cs="Arial"/>
          <w:color w:val="4F81BD" w:themeColor="accent1"/>
          <w:sz w:val="24"/>
          <w:szCs w:val="24"/>
        </w:rPr>
        <w:tab/>
        <w:t>Informal Process - STEP 1</w:t>
      </w:r>
      <w:bookmarkEnd w:id="10"/>
    </w:p>
    <w:p w14:paraId="502140A3" w14:textId="77777777" w:rsidR="00BC7696" w:rsidRPr="00CE3CAD" w:rsidRDefault="00BC7696" w:rsidP="00BC7696">
      <w:pPr>
        <w:autoSpaceDE w:val="0"/>
        <w:autoSpaceDN w:val="0"/>
        <w:adjustRightInd w:val="0"/>
        <w:spacing w:after="120"/>
        <w:jc w:val="both"/>
        <w:rPr>
          <w:rFonts w:ascii="Arial" w:eastAsia="Calibri" w:hAnsi="Arial" w:cs="Arial"/>
        </w:rPr>
      </w:pPr>
      <w:r w:rsidRPr="00CE3CAD">
        <w:rPr>
          <w:rFonts w:ascii="Arial" w:eastAsia="Calibri" w:hAnsi="Arial" w:cs="Arial"/>
        </w:rPr>
        <w:t xml:space="preserve">It is best practice for all members of the MDT to agree the Recommendation at the time the Decision Support Tool (DST) meeting is conducted. </w:t>
      </w:r>
    </w:p>
    <w:p w14:paraId="26B99BA9" w14:textId="77777777" w:rsidR="00BC7696" w:rsidRPr="00CE3CAD" w:rsidRDefault="00BC7696" w:rsidP="00BC7696">
      <w:pPr>
        <w:autoSpaceDE w:val="0"/>
        <w:autoSpaceDN w:val="0"/>
        <w:adjustRightInd w:val="0"/>
        <w:spacing w:after="120"/>
        <w:jc w:val="both"/>
        <w:rPr>
          <w:rFonts w:ascii="Arial" w:eastAsia="Calibri" w:hAnsi="Arial" w:cs="Arial"/>
        </w:rPr>
      </w:pPr>
      <w:r w:rsidRPr="00CE3CAD">
        <w:rPr>
          <w:rFonts w:ascii="Arial" w:eastAsia="Calibri" w:hAnsi="Arial" w:cs="Arial"/>
        </w:rPr>
        <w:t xml:space="preserve">In cases where this is not immediately achievable and the MDT arrives at a </w:t>
      </w:r>
      <w:r w:rsidRPr="00CE3CAD">
        <w:rPr>
          <w:rFonts w:ascii="Arial" w:eastAsia="Calibri" w:hAnsi="Arial" w:cs="Arial"/>
          <w:i/>
        </w:rPr>
        <w:t>Split Recommendation</w:t>
      </w:r>
      <w:r w:rsidRPr="00CE3CAD">
        <w:rPr>
          <w:rFonts w:ascii="Arial" w:eastAsia="Calibri" w:hAnsi="Arial" w:cs="Arial"/>
        </w:rPr>
        <w:t xml:space="preserve">, the MDT will conduct a private discussion, away from the individual and/or their representative, to define their respective professional views regarding the individual's eligibility and work to come to a unanimous eligibility recommendation. </w:t>
      </w:r>
    </w:p>
    <w:p w14:paraId="39957232" w14:textId="77777777" w:rsidR="00BC7696" w:rsidRPr="00CE3CAD" w:rsidRDefault="00BC7696" w:rsidP="00BC7696">
      <w:pPr>
        <w:autoSpaceDE w:val="0"/>
        <w:autoSpaceDN w:val="0"/>
        <w:adjustRightInd w:val="0"/>
        <w:spacing w:after="120"/>
        <w:jc w:val="both"/>
        <w:rPr>
          <w:rFonts w:ascii="Arial" w:eastAsia="Calibri" w:hAnsi="Arial" w:cs="Arial"/>
          <w:color w:val="FF0000"/>
        </w:rPr>
      </w:pPr>
      <w:r w:rsidRPr="00CE3CAD">
        <w:rPr>
          <w:rFonts w:ascii="Arial" w:eastAsia="Calibri" w:hAnsi="Arial" w:cs="Arial"/>
        </w:rPr>
        <w:t>This discussion will take place as part of the DST MDT meeting and the CHC Lead Coordinator will be responsible for recording the content and outcome of the discussion within the body of the Decision Support Tool (DST); this information should be agreed and shared with the social care practitioner at this time. The CHC Lead Coordinator will be responsible for informing the individual/representative of the outcome of the discussion and advise of next step</w:t>
      </w:r>
    </w:p>
    <w:p w14:paraId="354AACCD" w14:textId="77777777" w:rsidR="00BC7696" w:rsidRPr="00CE3CAD" w:rsidRDefault="00BC7696" w:rsidP="00BC7696">
      <w:pPr>
        <w:autoSpaceDE w:val="0"/>
        <w:autoSpaceDN w:val="0"/>
        <w:adjustRightInd w:val="0"/>
        <w:spacing w:after="120"/>
        <w:jc w:val="both"/>
        <w:rPr>
          <w:rFonts w:ascii="Arial" w:eastAsia="Calibri" w:hAnsi="Arial" w:cs="Arial"/>
        </w:rPr>
      </w:pPr>
      <w:r w:rsidRPr="00CE3CAD">
        <w:rPr>
          <w:rFonts w:ascii="Arial" w:eastAsia="Calibri" w:hAnsi="Arial" w:cs="Arial"/>
        </w:rPr>
        <w:t xml:space="preserve">In cases where the MDT are still unable to reach a unanimous agreement on the individual's eligibility, the dispute will need to progress to </w:t>
      </w:r>
      <w:r w:rsidRPr="00CE3CAD">
        <w:rPr>
          <w:rFonts w:ascii="Arial" w:eastAsia="Calibri" w:hAnsi="Arial" w:cs="Arial"/>
          <w:u w:val="single"/>
        </w:rPr>
        <w:t>Step 2 of the Informal Process</w:t>
      </w:r>
      <w:r w:rsidRPr="00CE3CAD">
        <w:rPr>
          <w:rFonts w:ascii="Arial" w:eastAsia="Calibri" w:hAnsi="Arial" w:cs="Arial"/>
        </w:rPr>
        <w:t xml:space="preserve">. At this point, the CHC Lead Coordinator will: </w:t>
      </w:r>
    </w:p>
    <w:p w14:paraId="0CD3F6A3" w14:textId="77777777" w:rsidR="00BC7696" w:rsidRPr="00CE3CAD" w:rsidRDefault="00BC7696" w:rsidP="00BC7696">
      <w:pPr>
        <w:pStyle w:val="ListParagraph"/>
        <w:numPr>
          <w:ilvl w:val="0"/>
          <w:numId w:val="8"/>
        </w:numPr>
        <w:autoSpaceDE w:val="0"/>
        <w:autoSpaceDN w:val="0"/>
        <w:adjustRightInd w:val="0"/>
        <w:spacing w:after="120"/>
        <w:jc w:val="both"/>
        <w:rPr>
          <w:rFonts w:ascii="Arial" w:eastAsia="Calibri" w:hAnsi="Arial" w:cs="Arial"/>
          <w:sz w:val="22"/>
          <w:szCs w:val="22"/>
        </w:rPr>
      </w:pPr>
      <w:r w:rsidRPr="00CE3CAD">
        <w:rPr>
          <w:rFonts w:ascii="Arial" w:eastAsia="Calibri" w:hAnsi="Arial" w:cs="Arial"/>
          <w:sz w:val="22"/>
          <w:szCs w:val="22"/>
        </w:rPr>
        <w:t xml:space="preserve">send a copy of their DST to the social care practitioner involved in the DST within 48 hours; to include the CHC Lead Coordinators 4 Key Characteristics. </w:t>
      </w:r>
    </w:p>
    <w:p w14:paraId="3AA98D9A" w14:textId="77777777" w:rsidR="00BC7696" w:rsidRPr="00CE3CAD" w:rsidRDefault="00BC7696" w:rsidP="00BC7696">
      <w:pPr>
        <w:pStyle w:val="ListParagraph"/>
        <w:numPr>
          <w:ilvl w:val="0"/>
          <w:numId w:val="8"/>
        </w:numPr>
        <w:autoSpaceDE w:val="0"/>
        <w:autoSpaceDN w:val="0"/>
        <w:adjustRightInd w:val="0"/>
        <w:spacing w:after="120"/>
        <w:jc w:val="both"/>
        <w:rPr>
          <w:rFonts w:ascii="Arial" w:eastAsia="Calibri" w:hAnsi="Arial" w:cs="Arial"/>
          <w:sz w:val="22"/>
          <w:szCs w:val="22"/>
        </w:rPr>
      </w:pPr>
      <w:r w:rsidRPr="00CE3CAD">
        <w:rPr>
          <w:rFonts w:ascii="Arial" w:eastAsia="Calibri" w:hAnsi="Arial" w:cs="Arial"/>
          <w:sz w:val="22"/>
          <w:szCs w:val="22"/>
        </w:rPr>
        <w:t>Will record this outcome within the body of the DST (to include where the Local Authority disagree with the CHC Lead Coordinators recommendation within the 4 Key Characteristics)</w:t>
      </w:r>
    </w:p>
    <w:p w14:paraId="15AA243D" w14:textId="77777777" w:rsidR="00BC7696" w:rsidRPr="00CE3CAD" w:rsidRDefault="00BC7696" w:rsidP="00BC7696">
      <w:pPr>
        <w:pStyle w:val="ListParagraph"/>
        <w:numPr>
          <w:ilvl w:val="0"/>
          <w:numId w:val="8"/>
        </w:numPr>
        <w:autoSpaceDE w:val="0"/>
        <w:autoSpaceDN w:val="0"/>
        <w:adjustRightInd w:val="0"/>
        <w:spacing w:after="120"/>
        <w:jc w:val="both"/>
        <w:rPr>
          <w:rFonts w:ascii="Arial" w:eastAsia="Calibri" w:hAnsi="Arial" w:cs="Arial"/>
          <w:sz w:val="22"/>
          <w:szCs w:val="22"/>
        </w:rPr>
      </w:pPr>
      <w:r w:rsidRPr="00CE3CAD">
        <w:rPr>
          <w:rFonts w:ascii="Arial" w:eastAsia="Calibri" w:hAnsi="Arial" w:cs="Arial"/>
          <w:sz w:val="22"/>
          <w:szCs w:val="22"/>
        </w:rPr>
        <w:t xml:space="preserve">Arrange a mutually agreed date (within the timeframe below) to communicate the outcome of Step 2 to one another </w:t>
      </w:r>
    </w:p>
    <w:p w14:paraId="3B3D0317" w14:textId="29F7D060" w:rsidR="00BC7696" w:rsidRPr="00CE3CAD" w:rsidRDefault="00BC7696" w:rsidP="00BC7696">
      <w:pPr>
        <w:pStyle w:val="Level1Text"/>
        <w:spacing w:before="0" w:after="120"/>
        <w:ind w:left="0"/>
        <w:jc w:val="both"/>
        <w:rPr>
          <w:rFonts w:hAnsi="Arial" w:cs="Arial"/>
          <w:lang w:val="en-GB"/>
        </w:rPr>
      </w:pPr>
      <w:r w:rsidRPr="00CE3CAD">
        <w:rPr>
          <w:rFonts w:hAnsi="Arial" w:cs="Arial"/>
          <w:lang w:val="en-GB"/>
        </w:rPr>
        <w:t xml:space="preserve">LCC will ensure, if not already provided, that a copy the Adult Care Needs Assessment is submitted to </w:t>
      </w:r>
      <w:r w:rsidR="00E271F0">
        <w:rPr>
          <w:rFonts w:hAnsi="Arial" w:cs="Arial"/>
          <w:lang w:val="en-GB"/>
        </w:rPr>
        <w:t>ICB</w:t>
      </w:r>
      <w:r w:rsidRPr="00CE3CAD">
        <w:rPr>
          <w:rFonts w:hAnsi="Arial" w:cs="Arial"/>
          <w:lang w:val="en-GB"/>
        </w:rPr>
        <w:t xml:space="preserve"> to outline the individuals care needs and to inform the disputes process, this will enable Lincolnshire </w:t>
      </w:r>
      <w:r w:rsidR="00E271F0">
        <w:rPr>
          <w:rFonts w:hAnsi="Arial" w:cs="Arial"/>
          <w:lang w:val="en-GB"/>
        </w:rPr>
        <w:t>ICB</w:t>
      </w:r>
      <w:r w:rsidRPr="00CE3CAD">
        <w:rPr>
          <w:rFonts w:hAnsi="Arial" w:cs="Arial"/>
          <w:lang w:val="en-GB"/>
        </w:rPr>
        <w:t xml:space="preserve"> and LCC to work in partnership to ensure the individual receives appropriate support throughout the disputes process.</w:t>
      </w:r>
    </w:p>
    <w:p w14:paraId="2EAC5569" w14:textId="2D07F991" w:rsidR="00BC7696" w:rsidRPr="00CE3CAD" w:rsidRDefault="00B73C32" w:rsidP="00BC7696">
      <w:pPr>
        <w:pStyle w:val="Heading2"/>
        <w:spacing w:after="120"/>
        <w:rPr>
          <w:rFonts w:ascii="Arial" w:eastAsia="Calibri" w:hAnsi="Arial" w:cs="Arial"/>
          <w:color w:val="4F81BD" w:themeColor="accent1"/>
          <w:sz w:val="24"/>
          <w:szCs w:val="24"/>
        </w:rPr>
      </w:pPr>
      <w:bookmarkStart w:id="11" w:name="_Toc1121331"/>
      <w:r w:rsidRPr="00CE3CAD">
        <w:rPr>
          <w:rFonts w:ascii="Arial" w:eastAsia="Calibri" w:hAnsi="Arial" w:cs="Arial"/>
          <w:color w:val="4F81BD" w:themeColor="accent1"/>
          <w:sz w:val="24"/>
          <w:szCs w:val="24"/>
        </w:rPr>
        <w:t>4</w:t>
      </w:r>
      <w:r w:rsidR="00BC7696" w:rsidRPr="00CE3CAD">
        <w:rPr>
          <w:rFonts w:ascii="Arial" w:eastAsia="Calibri" w:hAnsi="Arial" w:cs="Arial"/>
          <w:color w:val="4F81BD" w:themeColor="accent1"/>
          <w:sz w:val="24"/>
          <w:szCs w:val="24"/>
        </w:rPr>
        <w:t>.3</w:t>
      </w:r>
      <w:r w:rsidR="00BC7696" w:rsidRPr="00CE3CAD">
        <w:rPr>
          <w:rFonts w:ascii="Arial" w:eastAsia="Calibri" w:hAnsi="Arial" w:cs="Arial"/>
          <w:color w:val="4F81BD" w:themeColor="accent1"/>
          <w:sz w:val="24"/>
          <w:szCs w:val="24"/>
        </w:rPr>
        <w:tab/>
        <w:t>Informal Process – STEP 2</w:t>
      </w:r>
      <w:bookmarkEnd w:id="11"/>
    </w:p>
    <w:p w14:paraId="24555EA2" w14:textId="77777777" w:rsidR="00BC7696" w:rsidRPr="00CE3CAD" w:rsidRDefault="00BC7696" w:rsidP="00BC7696">
      <w:pPr>
        <w:autoSpaceDE w:val="0"/>
        <w:autoSpaceDN w:val="0"/>
        <w:adjustRightInd w:val="0"/>
        <w:spacing w:after="120"/>
        <w:jc w:val="both"/>
        <w:rPr>
          <w:rFonts w:ascii="Arial" w:eastAsia="Calibri" w:hAnsi="Arial" w:cs="Arial"/>
        </w:rPr>
      </w:pPr>
      <w:r w:rsidRPr="00CE3CAD">
        <w:rPr>
          <w:rFonts w:ascii="Arial" w:eastAsia="Calibri" w:hAnsi="Arial" w:cs="Arial"/>
        </w:rPr>
        <w:t>Where an agreement regarding eligibility could not be agreed through the MDT discussion:</w:t>
      </w:r>
    </w:p>
    <w:p w14:paraId="7A1C3D3F" w14:textId="77777777" w:rsidR="00BC7696" w:rsidRPr="00CE3CAD" w:rsidRDefault="00BC7696" w:rsidP="00BC7696">
      <w:pPr>
        <w:pStyle w:val="CommentText"/>
        <w:rPr>
          <w:rFonts w:ascii="Arial" w:eastAsia="Calibri" w:hAnsi="Arial" w:cs="Arial"/>
          <w:sz w:val="22"/>
          <w:szCs w:val="22"/>
        </w:rPr>
      </w:pPr>
      <w:r w:rsidRPr="00CE3CAD">
        <w:rPr>
          <w:rFonts w:ascii="Arial" w:eastAsia="Calibri" w:hAnsi="Arial" w:cs="Arial"/>
          <w:sz w:val="22"/>
          <w:szCs w:val="22"/>
        </w:rPr>
        <w:t>The health professional and Adult Social Care practitioner will be required to individually escalate the case and discuss with an appropriate manager</w:t>
      </w:r>
      <w:r w:rsidRPr="00CE3CAD">
        <w:rPr>
          <w:rFonts w:ascii="Arial" w:eastAsia="Calibri" w:hAnsi="Arial" w:cs="Arial"/>
        </w:rPr>
        <w:t xml:space="preserve"> </w:t>
      </w:r>
      <w:r w:rsidRPr="00CE3CAD">
        <w:rPr>
          <w:rFonts w:ascii="Arial" w:eastAsia="Calibri" w:hAnsi="Arial" w:cs="Arial"/>
          <w:b/>
          <w:bCs/>
          <w:sz w:val="22"/>
          <w:szCs w:val="22"/>
        </w:rPr>
        <w:t>within 5 working days</w:t>
      </w:r>
      <w:r w:rsidRPr="00CE3CAD">
        <w:rPr>
          <w:rFonts w:ascii="Arial" w:eastAsia="Calibri" w:hAnsi="Arial" w:cs="Arial"/>
          <w:sz w:val="22"/>
          <w:szCs w:val="22"/>
        </w:rPr>
        <w:t xml:space="preserve"> of the DST MDT meeting to consider the individual’s needs and interpretation of The National Framework.</w:t>
      </w:r>
    </w:p>
    <w:p w14:paraId="28669645" w14:textId="77777777" w:rsidR="00BC7696" w:rsidRPr="00CE3CAD" w:rsidRDefault="00BC7696" w:rsidP="00BC7696">
      <w:pPr>
        <w:pStyle w:val="CommentText"/>
        <w:rPr>
          <w:rFonts w:ascii="Arial" w:eastAsia="Calibri" w:hAnsi="Arial" w:cs="Arial"/>
          <w:sz w:val="22"/>
          <w:szCs w:val="22"/>
        </w:rPr>
      </w:pPr>
    </w:p>
    <w:p w14:paraId="029F9CA1" w14:textId="77777777" w:rsidR="00BC7696" w:rsidRPr="00CE3CAD" w:rsidRDefault="00BC7696" w:rsidP="00BC7696">
      <w:pPr>
        <w:autoSpaceDE w:val="0"/>
        <w:autoSpaceDN w:val="0"/>
        <w:adjustRightInd w:val="0"/>
        <w:spacing w:after="120"/>
        <w:jc w:val="both"/>
        <w:rPr>
          <w:rFonts w:ascii="Arial" w:eastAsia="Calibri" w:hAnsi="Arial" w:cs="Arial"/>
        </w:rPr>
      </w:pPr>
      <w:r w:rsidRPr="00CE3CAD">
        <w:rPr>
          <w:rFonts w:ascii="Arial" w:eastAsia="Calibri" w:hAnsi="Arial" w:cs="Arial"/>
        </w:rPr>
        <w:t>At this point if an agreement is reached regarding the individual’s eligibility, the four key characteristics will be discussed and determined as the rationale. The date and time of the MDT member’s discussion will be recorded on the DST. Formal notification will be sent by letter to the individual and/or their representative as well as the Local Authority.</w:t>
      </w:r>
    </w:p>
    <w:p w14:paraId="40486B82" w14:textId="4EC3B1B0" w:rsidR="00BC7696" w:rsidRPr="00CE3CAD" w:rsidRDefault="00BC7696" w:rsidP="00BC7696">
      <w:pPr>
        <w:autoSpaceDE w:val="0"/>
        <w:autoSpaceDN w:val="0"/>
        <w:adjustRightInd w:val="0"/>
        <w:spacing w:after="120"/>
        <w:jc w:val="both"/>
        <w:rPr>
          <w:rFonts w:ascii="Arial" w:eastAsia="Calibri" w:hAnsi="Arial" w:cs="Arial"/>
        </w:rPr>
      </w:pPr>
      <w:r w:rsidRPr="00CE3CAD">
        <w:rPr>
          <w:rFonts w:ascii="Arial" w:eastAsia="Calibri" w:hAnsi="Arial" w:cs="Arial"/>
        </w:rPr>
        <w:t xml:space="preserve">If agreement is not reached, the Inter-Agency Dispute will enter the </w:t>
      </w:r>
      <w:r w:rsidR="003660C8" w:rsidRPr="00CE3CAD">
        <w:rPr>
          <w:rFonts w:ascii="Arial" w:eastAsia="Calibri" w:hAnsi="Arial" w:cs="Arial"/>
        </w:rPr>
        <w:t>Inf</w:t>
      </w:r>
      <w:r w:rsidRPr="00CE3CAD">
        <w:rPr>
          <w:rFonts w:ascii="Arial" w:eastAsia="Calibri" w:hAnsi="Arial" w:cs="Arial"/>
        </w:rPr>
        <w:t>ormal Process (Step 3).</w:t>
      </w:r>
    </w:p>
    <w:p w14:paraId="35513BB6" w14:textId="77777777" w:rsidR="00BC7696" w:rsidRPr="00CE3CAD" w:rsidRDefault="00BC7696" w:rsidP="00BC7696">
      <w:pPr>
        <w:autoSpaceDE w:val="0"/>
        <w:autoSpaceDN w:val="0"/>
        <w:adjustRightInd w:val="0"/>
        <w:spacing w:after="120"/>
        <w:jc w:val="both"/>
        <w:rPr>
          <w:rFonts w:ascii="Arial" w:eastAsia="Calibri" w:hAnsi="Arial" w:cs="Arial"/>
          <w:b/>
          <w:bCs/>
        </w:rPr>
      </w:pPr>
      <w:r w:rsidRPr="00CE3CAD">
        <w:rPr>
          <w:rFonts w:ascii="Arial" w:eastAsia="Calibri" w:hAnsi="Arial" w:cs="Arial"/>
        </w:rPr>
        <w:lastRenderedPageBreak/>
        <w:t xml:space="preserve">In either case, the outcome will be communicated to the individual and/or their representative, </w:t>
      </w:r>
      <w:r w:rsidRPr="00CE3CAD">
        <w:rPr>
          <w:rFonts w:ascii="Arial" w:eastAsia="Calibri" w:hAnsi="Arial" w:cs="Arial"/>
          <w:b/>
          <w:bCs/>
        </w:rPr>
        <w:t>within 2 working days</w:t>
      </w:r>
      <w:r w:rsidRPr="00CE3CAD">
        <w:rPr>
          <w:rFonts w:ascii="Arial" w:eastAsia="Calibri" w:hAnsi="Arial" w:cs="Arial"/>
        </w:rPr>
        <w:t xml:space="preserve"> via telephone by the CHC Lead Coordinator </w:t>
      </w:r>
      <w:r w:rsidRPr="00CE3CAD">
        <w:rPr>
          <w:rFonts w:ascii="Arial" w:eastAsia="Calibri" w:hAnsi="Arial" w:cs="Arial"/>
          <w:b/>
          <w:bCs/>
        </w:rPr>
        <w:t>and the date and time of which must be recorded on the DST and Broadcare.</w:t>
      </w:r>
    </w:p>
    <w:p w14:paraId="086C8BAA" w14:textId="366E4C3F" w:rsidR="00BC7696" w:rsidRPr="00CE3CAD" w:rsidRDefault="00B73C32" w:rsidP="00BC7696">
      <w:pPr>
        <w:pStyle w:val="Heading2"/>
        <w:spacing w:after="120"/>
        <w:rPr>
          <w:rFonts w:ascii="Arial" w:hAnsi="Arial" w:cs="Arial"/>
          <w:color w:val="4F81BD" w:themeColor="accent1"/>
          <w:sz w:val="24"/>
          <w:szCs w:val="24"/>
        </w:rPr>
      </w:pPr>
      <w:bookmarkStart w:id="12" w:name="_Toc1121332"/>
      <w:r w:rsidRPr="00CE3CAD">
        <w:rPr>
          <w:rFonts w:ascii="Arial" w:hAnsi="Arial" w:cs="Arial"/>
          <w:color w:val="4F81BD" w:themeColor="accent1"/>
          <w:sz w:val="24"/>
          <w:szCs w:val="24"/>
        </w:rPr>
        <w:t>4</w:t>
      </w:r>
      <w:r w:rsidR="00BC7696" w:rsidRPr="00CE3CAD">
        <w:rPr>
          <w:rFonts w:ascii="Arial" w:hAnsi="Arial" w:cs="Arial"/>
          <w:color w:val="4F81BD" w:themeColor="accent1"/>
          <w:sz w:val="24"/>
          <w:szCs w:val="24"/>
        </w:rPr>
        <w:t>.4</w:t>
      </w:r>
      <w:r w:rsidR="00DE0F46" w:rsidRPr="00CE3CAD">
        <w:rPr>
          <w:rFonts w:ascii="Arial" w:hAnsi="Arial" w:cs="Arial"/>
          <w:color w:val="4F81BD" w:themeColor="accent1"/>
          <w:sz w:val="24"/>
          <w:szCs w:val="24"/>
        </w:rPr>
        <w:t xml:space="preserve">      </w:t>
      </w:r>
      <w:r w:rsidR="00BC7696" w:rsidRPr="00CE3CAD">
        <w:rPr>
          <w:rFonts w:ascii="Arial" w:hAnsi="Arial" w:cs="Arial"/>
          <w:color w:val="4F81BD" w:themeColor="accent1"/>
          <w:sz w:val="24"/>
          <w:szCs w:val="24"/>
        </w:rPr>
        <w:t>Informal Process – STEP 3</w:t>
      </w:r>
      <w:bookmarkEnd w:id="12"/>
    </w:p>
    <w:p w14:paraId="4736A45E" w14:textId="176AB668" w:rsidR="00BC7696" w:rsidRPr="00CE3CAD" w:rsidRDefault="00BC7696" w:rsidP="00BC7696">
      <w:pPr>
        <w:spacing w:after="120"/>
        <w:jc w:val="both"/>
        <w:rPr>
          <w:rFonts w:ascii="Arial" w:hAnsi="Arial" w:cs="Arial"/>
        </w:rPr>
      </w:pPr>
      <w:r w:rsidRPr="00CE3CAD">
        <w:rPr>
          <w:rFonts w:ascii="Arial" w:hAnsi="Arial" w:cs="Arial"/>
        </w:rPr>
        <w:t xml:space="preserve">The CHC Lead Co-ordinator will request the case be presented via the CHC Panel Submission Standard Operating Procedure (SOP) at the next available </w:t>
      </w:r>
      <w:r w:rsidR="00E271F0">
        <w:rPr>
          <w:rFonts w:ascii="Arial" w:hAnsi="Arial" w:cs="Arial"/>
        </w:rPr>
        <w:t>ICB</w:t>
      </w:r>
      <w:r w:rsidRPr="00CE3CAD">
        <w:rPr>
          <w:rFonts w:ascii="Arial" w:hAnsi="Arial" w:cs="Arial"/>
        </w:rPr>
        <w:t xml:space="preserve"> Panel meeting where Health and Adult Social Care are both represented. </w:t>
      </w:r>
    </w:p>
    <w:p w14:paraId="164C790D" w14:textId="1B9F490F" w:rsidR="00BC7696" w:rsidRPr="00CE3CAD" w:rsidRDefault="00B73C32" w:rsidP="00BC7696">
      <w:pPr>
        <w:pStyle w:val="Heading3"/>
        <w:spacing w:after="120"/>
        <w:rPr>
          <w:rFonts w:ascii="Arial" w:hAnsi="Arial" w:cs="Arial"/>
          <w:color w:val="4F81BD" w:themeColor="accent1"/>
        </w:rPr>
      </w:pPr>
      <w:bookmarkStart w:id="13" w:name="_Toc1121333"/>
      <w:r w:rsidRPr="00CE3CAD">
        <w:rPr>
          <w:rFonts w:ascii="Arial" w:hAnsi="Arial" w:cs="Arial"/>
          <w:color w:val="4F81BD" w:themeColor="accent1"/>
        </w:rPr>
        <w:t>4</w:t>
      </w:r>
      <w:r w:rsidR="00BC7696" w:rsidRPr="00CE3CAD">
        <w:rPr>
          <w:rFonts w:ascii="Arial" w:hAnsi="Arial" w:cs="Arial"/>
          <w:color w:val="4F81BD" w:themeColor="accent1"/>
        </w:rPr>
        <w:t xml:space="preserve">.5      </w:t>
      </w:r>
      <w:r w:rsidR="00E271F0">
        <w:rPr>
          <w:rFonts w:ascii="Arial" w:hAnsi="Arial" w:cs="Arial"/>
          <w:color w:val="4F81BD" w:themeColor="accent1"/>
        </w:rPr>
        <w:t>ICB</w:t>
      </w:r>
      <w:r w:rsidR="00BC7696" w:rsidRPr="00CE3CAD">
        <w:rPr>
          <w:rFonts w:ascii="Arial" w:hAnsi="Arial" w:cs="Arial"/>
          <w:color w:val="4F81BD" w:themeColor="accent1"/>
        </w:rPr>
        <w:t xml:space="preserve"> </w:t>
      </w:r>
      <w:bookmarkEnd w:id="13"/>
      <w:r w:rsidR="00BC7696" w:rsidRPr="00CE3CAD">
        <w:rPr>
          <w:rFonts w:ascii="Arial" w:hAnsi="Arial" w:cs="Arial"/>
          <w:color w:val="4F81BD" w:themeColor="accent1"/>
        </w:rPr>
        <w:t>Panel meeting</w:t>
      </w:r>
    </w:p>
    <w:p w14:paraId="0ECCA578" w14:textId="43F55ECD" w:rsidR="00BC7696" w:rsidRPr="00CE3CAD" w:rsidRDefault="00BC7696" w:rsidP="00BC7696">
      <w:pPr>
        <w:spacing w:after="120"/>
        <w:jc w:val="both"/>
        <w:rPr>
          <w:rFonts w:ascii="Arial" w:hAnsi="Arial" w:cs="Arial"/>
        </w:rPr>
      </w:pPr>
      <w:r w:rsidRPr="00CE3CAD">
        <w:rPr>
          <w:rFonts w:ascii="Arial" w:hAnsi="Arial" w:cs="Arial"/>
        </w:rPr>
        <w:t xml:space="preserve">The purpose of the </w:t>
      </w:r>
      <w:r w:rsidR="00E271F0">
        <w:rPr>
          <w:rFonts w:ascii="Arial" w:hAnsi="Arial" w:cs="Arial"/>
        </w:rPr>
        <w:t>ICB</w:t>
      </w:r>
      <w:r w:rsidRPr="00CE3CAD">
        <w:rPr>
          <w:rFonts w:ascii="Arial" w:hAnsi="Arial" w:cs="Arial"/>
        </w:rPr>
        <w:t xml:space="preserve"> CHC Panel meeting is to consider the DST content, supporting evidence and recommendation(s); to agree a final recommendation of eligibility. </w:t>
      </w:r>
    </w:p>
    <w:p w14:paraId="5BF4937B" w14:textId="13D11BD1" w:rsidR="00BC7696" w:rsidRPr="00CE3CAD" w:rsidRDefault="00BC7696" w:rsidP="00BC7696">
      <w:pPr>
        <w:spacing w:after="120"/>
        <w:jc w:val="both"/>
        <w:rPr>
          <w:rFonts w:ascii="Arial" w:hAnsi="Arial" w:cs="Arial"/>
        </w:rPr>
      </w:pPr>
      <w:r w:rsidRPr="00CE3CAD">
        <w:rPr>
          <w:rFonts w:ascii="Arial" w:hAnsi="Arial" w:cs="Arial"/>
        </w:rPr>
        <w:t xml:space="preserve">The DST and all supporting evidence, which must include an </w:t>
      </w:r>
      <w:proofErr w:type="gramStart"/>
      <w:r w:rsidRPr="00CE3CAD">
        <w:rPr>
          <w:rFonts w:ascii="Arial" w:hAnsi="Arial" w:cs="Arial"/>
        </w:rPr>
        <w:t>up to date</w:t>
      </w:r>
      <w:proofErr w:type="gramEnd"/>
      <w:r w:rsidRPr="00CE3CAD">
        <w:rPr>
          <w:rFonts w:ascii="Arial" w:hAnsi="Arial" w:cs="Arial"/>
        </w:rPr>
        <w:t xml:space="preserve"> copy of the Adult Care Needs Assessment, will be submitted to the CHC team. The Health and Adult Social Care practitioners can submit any additional evidence that becomes available to support their view of the individual's eligibility; this should be submitted to the Lead MDT Co-ordinator, in preparation for the </w:t>
      </w:r>
      <w:r w:rsidR="00E271F0">
        <w:rPr>
          <w:rFonts w:ascii="Arial" w:hAnsi="Arial" w:cs="Arial"/>
        </w:rPr>
        <w:t>ICB</w:t>
      </w:r>
      <w:r w:rsidRPr="00CE3CAD">
        <w:rPr>
          <w:rFonts w:ascii="Arial" w:hAnsi="Arial" w:cs="Arial"/>
        </w:rPr>
        <w:t xml:space="preserve"> CHC Panel meeting.</w:t>
      </w:r>
    </w:p>
    <w:p w14:paraId="50CAB9F0" w14:textId="77777777" w:rsidR="00BC7696" w:rsidRPr="00CE3CAD" w:rsidRDefault="00BC7696" w:rsidP="00BC7696">
      <w:pPr>
        <w:spacing w:after="120"/>
        <w:jc w:val="both"/>
        <w:rPr>
          <w:rFonts w:ascii="Arial" w:hAnsi="Arial" w:cs="Arial"/>
        </w:rPr>
      </w:pPr>
      <w:r w:rsidRPr="00CE3CAD">
        <w:rPr>
          <w:rFonts w:ascii="Arial" w:eastAsia="Calibri" w:hAnsi="Arial" w:cs="Arial"/>
        </w:rPr>
        <w:t xml:space="preserve">It is important that all professionals present at Panel will base their decision making on the individual’s eligibility </w:t>
      </w:r>
      <w:r w:rsidRPr="00CE3CAD">
        <w:rPr>
          <w:rFonts w:ascii="Arial" w:eastAsia="Calibri" w:hAnsi="Arial" w:cs="Arial"/>
          <w:u w:val="single"/>
        </w:rPr>
        <w:t>only</w:t>
      </w:r>
      <w:r w:rsidRPr="00CE3CAD">
        <w:rPr>
          <w:rFonts w:ascii="Arial" w:eastAsia="Calibri" w:hAnsi="Arial" w:cs="Arial"/>
        </w:rPr>
        <w:t xml:space="preserve"> on the evidence provided for the Panel meeting.</w:t>
      </w:r>
    </w:p>
    <w:p w14:paraId="0C4C0761" w14:textId="1AD2441D" w:rsidR="00BC7696" w:rsidRPr="00CE3CAD" w:rsidRDefault="00BC7696" w:rsidP="00BC7696">
      <w:pPr>
        <w:spacing w:after="120"/>
        <w:jc w:val="both"/>
        <w:rPr>
          <w:rFonts w:ascii="Arial" w:eastAsia="Calibri" w:hAnsi="Arial" w:cs="Arial"/>
        </w:rPr>
      </w:pPr>
      <w:r w:rsidRPr="00CE3CAD">
        <w:rPr>
          <w:rFonts w:ascii="Arial" w:hAnsi="Arial" w:cs="Arial"/>
        </w:rPr>
        <w:t xml:space="preserve">The </w:t>
      </w:r>
      <w:r w:rsidR="00E271F0">
        <w:rPr>
          <w:rFonts w:ascii="Arial" w:hAnsi="Arial" w:cs="Arial"/>
        </w:rPr>
        <w:t>ICB</w:t>
      </w:r>
      <w:r w:rsidRPr="00CE3CAD">
        <w:rPr>
          <w:rFonts w:ascii="Arial" w:hAnsi="Arial" w:cs="Arial"/>
        </w:rPr>
        <w:t xml:space="preserve"> CHC Panel meeting discussions will be recorded on a Panel Log</w:t>
      </w:r>
      <w:r w:rsidRPr="00CE3CAD">
        <w:rPr>
          <w:rFonts w:ascii="Arial" w:hAnsi="Arial" w:cs="Arial"/>
          <w:color w:val="000000"/>
        </w:rPr>
        <w:t xml:space="preserve">. </w:t>
      </w:r>
      <w:r w:rsidRPr="00CE3CAD">
        <w:rPr>
          <w:rFonts w:ascii="Arial" w:eastAsia="Calibri" w:hAnsi="Arial" w:cs="Arial"/>
        </w:rPr>
        <w:t xml:space="preserve">Formal notification will be sent by letter to the individual and/or their representative </w:t>
      </w:r>
      <w:r w:rsidRPr="00CE3CAD">
        <w:rPr>
          <w:rFonts w:ascii="Arial" w:eastAsia="Calibri" w:hAnsi="Arial" w:cs="Arial"/>
          <w:b/>
          <w:bCs/>
        </w:rPr>
        <w:t>within 5 working days</w:t>
      </w:r>
      <w:r w:rsidRPr="00CE3CAD">
        <w:rPr>
          <w:rFonts w:ascii="Arial" w:eastAsia="Calibri" w:hAnsi="Arial" w:cs="Arial"/>
        </w:rPr>
        <w:t>. The LCC panel representative will be responsible for informing the appropriate adult care practitioner of the outcome of their respective cases.</w:t>
      </w:r>
    </w:p>
    <w:p w14:paraId="5BC3C9E3" w14:textId="77777777" w:rsidR="00BC7696" w:rsidRPr="00CE3CAD" w:rsidRDefault="00BC7696" w:rsidP="00BC7696">
      <w:pPr>
        <w:spacing w:after="120"/>
        <w:jc w:val="both"/>
        <w:rPr>
          <w:rFonts w:ascii="Arial" w:hAnsi="Arial" w:cs="Arial"/>
        </w:rPr>
      </w:pPr>
      <w:r w:rsidRPr="00CE3CAD">
        <w:rPr>
          <w:rFonts w:ascii="Arial" w:hAnsi="Arial" w:cs="Arial"/>
        </w:rPr>
        <w:t xml:space="preserve">In cases where the LCC Adult Care Panel representative agrees with the outcome from Panel, this will be the </w:t>
      </w:r>
      <w:r w:rsidRPr="00CE3CAD">
        <w:rPr>
          <w:rFonts w:ascii="Arial" w:hAnsi="Arial" w:cs="Arial"/>
          <w:u w:val="single"/>
        </w:rPr>
        <w:t>final decision</w:t>
      </w:r>
      <w:r w:rsidRPr="00CE3CAD">
        <w:rPr>
          <w:rFonts w:ascii="Arial" w:hAnsi="Arial" w:cs="Arial"/>
        </w:rPr>
        <w:t xml:space="preserve"> and there will be no further action.</w:t>
      </w:r>
    </w:p>
    <w:p w14:paraId="0124E568" w14:textId="02BEBD52" w:rsidR="00BC7696" w:rsidRPr="00CE3CAD" w:rsidRDefault="00BC7696" w:rsidP="00BC7696">
      <w:pPr>
        <w:spacing w:after="120"/>
        <w:jc w:val="both"/>
        <w:rPr>
          <w:rFonts w:ascii="Arial" w:hAnsi="Arial" w:cs="Arial"/>
          <w:kern w:val="24"/>
        </w:rPr>
      </w:pPr>
      <w:r w:rsidRPr="00CE3CAD">
        <w:rPr>
          <w:rFonts w:ascii="Arial" w:hAnsi="Arial" w:cs="Arial"/>
        </w:rPr>
        <w:t xml:space="preserve">Where the LCC adult care panel representative does not agree with the Recommendation on an individual’s eligibility, a formal dispute can be raised </w:t>
      </w:r>
      <w:r w:rsidRPr="00CE3CAD">
        <w:rPr>
          <w:rFonts w:ascii="Arial" w:hAnsi="Arial" w:cs="Arial"/>
          <w:u w:val="single"/>
        </w:rPr>
        <w:t>in writing</w:t>
      </w:r>
      <w:r w:rsidRPr="00CE3CAD">
        <w:rPr>
          <w:rFonts w:ascii="Arial" w:hAnsi="Arial" w:cs="Arial"/>
        </w:rPr>
        <w:t xml:space="preserve"> </w:t>
      </w:r>
      <w:r w:rsidRPr="00CE3CAD">
        <w:rPr>
          <w:rFonts w:ascii="Arial" w:hAnsi="Arial" w:cs="Arial"/>
          <w:b/>
          <w:bCs/>
        </w:rPr>
        <w:t>within 10 working days</w:t>
      </w:r>
      <w:r w:rsidRPr="00CE3CAD">
        <w:rPr>
          <w:rFonts w:ascii="Arial" w:hAnsi="Arial" w:cs="Arial"/>
        </w:rPr>
        <w:t xml:space="preserve"> by the Adult Care Head of Service</w:t>
      </w:r>
      <w:r w:rsidRPr="00CE3CAD">
        <w:rPr>
          <w:rFonts w:ascii="Arial" w:hAnsi="Arial" w:cs="Arial"/>
          <w:color w:val="FF0000"/>
        </w:rPr>
        <w:t xml:space="preserve"> </w:t>
      </w:r>
      <w:r w:rsidRPr="00CE3CAD">
        <w:rPr>
          <w:rFonts w:ascii="Arial" w:hAnsi="Arial" w:cs="Arial"/>
        </w:rPr>
        <w:t xml:space="preserve">to the </w:t>
      </w:r>
      <w:r w:rsidR="00E271F0">
        <w:rPr>
          <w:rFonts w:ascii="Arial" w:hAnsi="Arial" w:cs="Arial"/>
        </w:rPr>
        <w:t>ICB</w:t>
      </w:r>
      <w:r w:rsidRPr="00CE3CAD">
        <w:rPr>
          <w:rFonts w:ascii="Arial" w:hAnsi="Arial" w:cs="Arial"/>
        </w:rPr>
        <w:t>.</w:t>
      </w:r>
    </w:p>
    <w:p w14:paraId="7F817562" w14:textId="77777777" w:rsidR="00BC7696" w:rsidRPr="00CE3CAD" w:rsidRDefault="00BC7696" w:rsidP="00BC7696">
      <w:pPr>
        <w:autoSpaceDE w:val="0"/>
        <w:autoSpaceDN w:val="0"/>
        <w:adjustRightInd w:val="0"/>
        <w:spacing w:after="120"/>
        <w:jc w:val="both"/>
        <w:rPr>
          <w:rFonts w:ascii="Arial" w:eastAsia="Calibri" w:hAnsi="Arial" w:cs="Arial"/>
        </w:rPr>
      </w:pPr>
      <w:r w:rsidRPr="00CE3CAD">
        <w:rPr>
          <w:rFonts w:ascii="Arial" w:eastAsia="Calibri" w:hAnsi="Arial" w:cs="Arial"/>
        </w:rPr>
        <w:t>Every effort must be taken to resolve the dispute at the informal stage.</w:t>
      </w:r>
      <w:bookmarkStart w:id="14" w:name="_Toc1121334"/>
    </w:p>
    <w:p w14:paraId="101F05E3" w14:textId="77777777" w:rsidR="00516580" w:rsidRPr="00CE3CAD" w:rsidRDefault="00516580" w:rsidP="00BC7696">
      <w:pPr>
        <w:autoSpaceDE w:val="0"/>
        <w:autoSpaceDN w:val="0"/>
        <w:adjustRightInd w:val="0"/>
        <w:spacing w:after="120"/>
        <w:jc w:val="both"/>
        <w:rPr>
          <w:rFonts w:ascii="Arial" w:hAnsi="Arial" w:cs="Arial"/>
          <w:b/>
          <w:bCs/>
          <w:color w:val="4F81BD" w:themeColor="accent1"/>
          <w:sz w:val="28"/>
          <w:szCs w:val="28"/>
          <w:lang w:eastAsia="en-GB"/>
        </w:rPr>
      </w:pPr>
    </w:p>
    <w:p w14:paraId="32798D14" w14:textId="77777777" w:rsidR="00516580" w:rsidRPr="00CE3CAD" w:rsidRDefault="00516580" w:rsidP="00BC7696">
      <w:pPr>
        <w:autoSpaceDE w:val="0"/>
        <w:autoSpaceDN w:val="0"/>
        <w:adjustRightInd w:val="0"/>
        <w:spacing w:after="120"/>
        <w:jc w:val="both"/>
        <w:rPr>
          <w:rFonts w:ascii="Arial" w:hAnsi="Arial" w:cs="Arial"/>
          <w:b/>
          <w:bCs/>
          <w:color w:val="4F81BD" w:themeColor="accent1"/>
          <w:sz w:val="28"/>
          <w:szCs w:val="28"/>
          <w:lang w:eastAsia="en-GB"/>
        </w:rPr>
      </w:pPr>
    </w:p>
    <w:p w14:paraId="5C633E0A" w14:textId="77777777" w:rsidR="00516580" w:rsidRPr="00CE3CAD" w:rsidRDefault="00516580" w:rsidP="00BC7696">
      <w:pPr>
        <w:autoSpaceDE w:val="0"/>
        <w:autoSpaceDN w:val="0"/>
        <w:adjustRightInd w:val="0"/>
        <w:spacing w:after="120"/>
        <w:jc w:val="both"/>
        <w:rPr>
          <w:rFonts w:ascii="Arial" w:hAnsi="Arial" w:cs="Arial"/>
          <w:b/>
          <w:bCs/>
          <w:color w:val="4F81BD" w:themeColor="accent1"/>
          <w:sz w:val="28"/>
          <w:szCs w:val="28"/>
          <w:lang w:eastAsia="en-GB"/>
        </w:rPr>
      </w:pPr>
    </w:p>
    <w:p w14:paraId="22176CCD" w14:textId="77777777" w:rsidR="00516580" w:rsidRPr="00CE3CAD" w:rsidRDefault="00516580" w:rsidP="00BC7696">
      <w:pPr>
        <w:autoSpaceDE w:val="0"/>
        <w:autoSpaceDN w:val="0"/>
        <w:adjustRightInd w:val="0"/>
        <w:spacing w:after="120"/>
        <w:jc w:val="both"/>
        <w:rPr>
          <w:rFonts w:ascii="Arial" w:hAnsi="Arial" w:cs="Arial"/>
          <w:b/>
          <w:bCs/>
          <w:color w:val="4F81BD" w:themeColor="accent1"/>
          <w:sz w:val="28"/>
          <w:szCs w:val="28"/>
          <w:lang w:eastAsia="en-GB"/>
        </w:rPr>
      </w:pPr>
    </w:p>
    <w:p w14:paraId="13B5F060" w14:textId="77777777" w:rsidR="00516580" w:rsidRPr="00CE3CAD" w:rsidRDefault="00516580" w:rsidP="00BC7696">
      <w:pPr>
        <w:autoSpaceDE w:val="0"/>
        <w:autoSpaceDN w:val="0"/>
        <w:adjustRightInd w:val="0"/>
        <w:spacing w:after="120"/>
        <w:jc w:val="both"/>
        <w:rPr>
          <w:rFonts w:ascii="Arial" w:hAnsi="Arial" w:cs="Arial"/>
          <w:b/>
          <w:bCs/>
          <w:color w:val="4F81BD" w:themeColor="accent1"/>
          <w:sz w:val="28"/>
          <w:szCs w:val="28"/>
          <w:lang w:eastAsia="en-GB"/>
        </w:rPr>
      </w:pPr>
    </w:p>
    <w:p w14:paraId="590490EA" w14:textId="77777777" w:rsidR="00516580" w:rsidRPr="00CE3CAD" w:rsidRDefault="00516580" w:rsidP="00BC7696">
      <w:pPr>
        <w:autoSpaceDE w:val="0"/>
        <w:autoSpaceDN w:val="0"/>
        <w:adjustRightInd w:val="0"/>
        <w:spacing w:after="120"/>
        <w:jc w:val="both"/>
        <w:rPr>
          <w:rFonts w:ascii="Arial" w:hAnsi="Arial" w:cs="Arial"/>
          <w:b/>
          <w:bCs/>
          <w:color w:val="4F81BD" w:themeColor="accent1"/>
          <w:sz w:val="28"/>
          <w:szCs w:val="28"/>
          <w:lang w:eastAsia="en-GB"/>
        </w:rPr>
      </w:pPr>
    </w:p>
    <w:p w14:paraId="4A9B2F7D" w14:textId="77777777" w:rsidR="00516580" w:rsidRPr="00CE3CAD" w:rsidRDefault="00516580" w:rsidP="00BC7696">
      <w:pPr>
        <w:autoSpaceDE w:val="0"/>
        <w:autoSpaceDN w:val="0"/>
        <w:adjustRightInd w:val="0"/>
        <w:spacing w:after="120"/>
        <w:jc w:val="both"/>
        <w:rPr>
          <w:rFonts w:ascii="Arial" w:hAnsi="Arial" w:cs="Arial"/>
          <w:b/>
          <w:bCs/>
          <w:color w:val="4F81BD" w:themeColor="accent1"/>
          <w:sz w:val="28"/>
          <w:szCs w:val="28"/>
          <w:lang w:eastAsia="en-GB"/>
        </w:rPr>
      </w:pPr>
    </w:p>
    <w:p w14:paraId="5B01FEE3" w14:textId="77777777" w:rsidR="00516580" w:rsidRPr="00CE3CAD" w:rsidRDefault="00516580" w:rsidP="00BC7696">
      <w:pPr>
        <w:autoSpaceDE w:val="0"/>
        <w:autoSpaceDN w:val="0"/>
        <w:adjustRightInd w:val="0"/>
        <w:spacing w:after="120"/>
        <w:jc w:val="both"/>
        <w:rPr>
          <w:rFonts w:ascii="Arial" w:hAnsi="Arial" w:cs="Arial"/>
          <w:b/>
          <w:bCs/>
          <w:color w:val="4F81BD" w:themeColor="accent1"/>
          <w:sz w:val="28"/>
          <w:szCs w:val="28"/>
          <w:lang w:eastAsia="en-GB"/>
        </w:rPr>
      </w:pPr>
    </w:p>
    <w:p w14:paraId="628DAEF3" w14:textId="77777777" w:rsidR="00516580" w:rsidRPr="00CE3CAD" w:rsidRDefault="00516580" w:rsidP="00BC7696">
      <w:pPr>
        <w:autoSpaceDE w:val="0"/>
        <w:autoSpaceDN w:val="0"/>
        <w:adjustRightInd w:val="0"/>
        <w:spacing w:after="120"/>
        <w:jc w:val="both"/>
        <w:rPr>
          <w:rFonts w:ascii="Arial" w:hAnsi="Arial" w:cs="Arial"/>
          <w:b/>
          <w:bCs/>
          <w:color w:val="4F81BD" w:themeColor="accent1"/>
          <w:sz w:val="28"/>
          <w:szCs w:val="28"/>
          <w:lang w:eastAsia="en-GB"/>
        </w:rPr>
      </w:pPr>
    </w:p>
    <w:p w14:paraId="1BE77E5D" w14:textId="77777777" w:rsidR="00516580" w:rsidRPr="00CE3CAD" w:rsidRDefault="00516580" w:rsidP="00BC7696">
      <w:pPr>
        <w:autoSpaceDE w:val="0"/>
        <w:autoSpaceDN w:val="0"/>
        <w:adjustRightInd w:val="0"/>
        <w:spacing w:after="120"/>
        <w:jc w:val="both"/>
        <w:rPr>
          <w:rFonts w:ascii="Arial" w:hAnsi="Arial" w:cs="Arial"/>
          <w:b/>
          <w:bCs/>
          <w:color w:val="4F81BD" w:themeColor="accent1"/>
          <w:sz w:val="28"/>
          <w:szCs w:val="28"/>
          <w:lang w:eastAsia="en-GB"/>
        </w:rPr>
      </w:pPr>
    </w:p>
    <w:p w14:paraId="0B1D6D6B" w14:textId="7AE32D5C" w:rsidR="00BC7696" w:rsidRPr="00CE3CAD" w:rsidRDefault="006B486B" w:rsidP="00BC7696">
      <w:pPr>
        <w:autoSpaceDE w:val="0"/>
        <w:autoSpaceDN w:val="0"/>
        <w:adjustRightInd w:val="0"/>
        <w:spacing w:after="120"/>
        <w:jc w:val="both"/>
        <w:rPr>
          <w:rFonts w:ascii="Arial" w:eastAsia="Calibri" w:hAnsi="Arial" w:cs="Arial"/>
          <w:b/>
          <w:bCs/>
          <w:color w:val="4F81BD" w:themeColor="accent1"/>
          <w:sz w:val="28"/>
          <w:szCs w:val="28"/>
        </w:rPr>
      </w:pPr>
      <w:r w:rsidRPr="00CE3CAD">
        <w:rPr>
          <w:rFonts w:ascii="Arial" w:hAnsi="Arial" w:cs="Arial"/>
          <w:b/>
          <w:bCs/>
          <w:color w:val="4F81BD" w:themeColor="accent1"/>
          <w:sz w:val="28"/>
          <w:szCs w:val="28"/>
          <w:lang w:eastAsia="en-GB"/>
        </w:rPr>
        <w:lastRenderedPageBreak/>
        <w:t>5</w:t>
      </w:r>
      <w:r w:rsidR="00BC7696" w:rsidRPr="00CE3CAD">
        <w:rPr>
          <w:rFonts w:ascii="Arial" w:hAnsi="Arial" w:cs="Arial"/>
          <w:b/>
          <w:bCs/>
          <w:color w:val="4F81BD" w:themeColor="accent1"/>
          <w:sz w:val="28"/>
          <w:szCs w:val="28"/>
          <w:lang w:eastAsia="en-GB"/>
        </w:rPr>
        <w:t xml:space="preserve">.0 </w:t>
      </w:r>
      <w:r w:rsidR="00DE0F46" w:rsidRPr="00CE3CAD">
        <w:rPr>
          <w:rFonts w:ascii="Arial" w:hAnsi="Arial" w:cs="Arial"/>
          <w:b/>
          <w:bCs/>
          <w:color w:val="4F81BD" w:themeColor="accent1"/>
          <w:sz w:val="28"/>
          <w:szCs w:val="28"/>
          <w:lang w:eastAsia="en-GB"/>
        </w:rPr>
        <w:t xml:space="preserve">    </w:t>
      </w:r>
      <w:r w:rsidR="00BC7696" w:rsidRPr="00CE3CAD">
        <w:rPr>
          <w:rFonts w:ascii="Arial" w:hAnsi="Arial" w:cs="Arial"/>
          <w:b/>
          <w:bCs/>
          <w:color w:val="4F81BD" w:themeColor="accent1"/>
          <w:sz w:val="28"/>
          <w:szCs w:val="28"/>
          <w:lang w:eastAsia="en-GB"/>
        </w:rPr>
        <w:t>FORMAL DISPUTE PROCESS</w:t>
      </w:r>
      <w:bookmarkEnd w:id="14"/>
    </w:p>
    <w:p w14:paraId="7F5881C4" w14:textId="58FAE708" w:rsidR="00DE0F46" w:rsidRPr="00CE3CAD" w:rsidRDefault="00BC7696" w:rsidP="00BC7696">
      <w:pPr>
        <w:spacing w:after="120"/>
        <w:jc w:val="both"/>
        <w:rPr>
          <w:rFonts w:ascii="Arial" w:hAnsi="Arial" w:cs="Arial"/>
        </w:rPr>
      </w:pPr>
      <w:r w:rsidRPr="00CE3CAD">
        <w:rPr>
          <w:rFonts w:ascii="Arial" w:hAnsi="Arial" w:cs="Arial"/>
        </w:rPr>
        <w:t>The CHC Lead Coordinator will continue to be the nominated person responsible for keeping the individual and/or their representatives updated throughout the Formal Dispute Process.</w:t>
      </w:r>
    </w:p>
    <w:p w14:paraId="2C7DFFFD" w14:textId="77777777" w:rsidR="00DE0F46" w:rsidRPr="00CE3CAD" w:rsidRDefault="00DE0F46" w:rsidP="00BC7696">
      <w:pPr>
        <w:spacing w:after="120"/>
        <w:jc w:val="both"/>
        <w:rPr>
          <w:rFonts w:ascii="Arial" w:hAnsi="Arial" w:cs="Arial"/>
        </w:rPr>
      </w:pPr>
    </w:p>
    <w:p w14:paraId="00451AA7" w14:textId="1B1B0159" w:rsidR="00BC7696" w:rsidRPr="00CE3CAD" w:rsidRDefault="006B486B" w:rsidP="00BC7696">
      <w:pPr>
        <w:pStyle w:val="Heading2"/>
        <w:spacing w:after="120"/>
        <w:rPr>
          <w:rFonts w:ascii="Arial" w:hAnsi="Arial" w:cs="Arial"/>
          <w:color w:val="4F81BD" w:themeColor="accent1"/>
          <w:sz w:val="24"/>
          <w:szCs w:val="24"/>
          <w:lang w:eastAsia="en-GB"/>
        </w:rPr>
      </w:pPr>
      <w:bookmarkStart w:id="15" w:name="_Toc1121335"/>
      <w:r w:rsidRPr="00CE3CAD">
        <w:rPr>
          <w:rFonts w:ascii="Arial" w:hAnsi="Arial" w:cs="Arial"/>
          <w:color w:val="4F81BD" w:themeColor="accent1"/>
          <w:sz w:val="24"/>
          <w:szCs w:val="24"/>
          <w:lang w:eastAsia="en-GB"/>
        </w:rPr>
        <w:t>5</w:t>
      </w:r>
      <w:r w:rsidR="00BC7696" w:rsidRPr="00CE3CAD">
        <w:rPr>
          <w:rFonts w:ascii="Arial" w:hAnsi="Arial" w:cs="Arial"/>
          <w:color w:val="4F81BD" w:themeColor="accent1"/>
          <w:sz w:val="24"/>
          <w:szCs w:val="24"/>
          <w:lang w:eastAsia="en-GB"/>
        </w:rPr>
        <w:t>.1</w:t>
      </w:r>
      <w:r w:rsidR="00BC7696" w:rsidRPr="00CE3CAD">
        <w:rPr>
          <w:rFonts w:ascii="Arial" w:hAnsi="Arial" w:cs="Arial"/>
          <w:color w:val="4F81BD" w:themeColor="accent1"/>
          <w:sz w:val="24"/>
          <w:szCs w:val="24"/>
          <w:lang w:eastAsia="en-GB"/>
        </w:rPr>
        <w:tab/>
        <w:t>Formal Dispute Process – STAGE 1:</w:t>
      </w:r>
      <w:bookmarkEnd w:id="15"/>
    </w:p>
    <w:p w14:paraId="761C2E9E" w14:textId="6D111A8A" w:rsidR="00BC7696" w:rsidRPr="00CE3CAD" w:rsidRDefault="00BC7696" w:rsidP="00BC7696">
      <w:pPr>
        <w:pStyle w:val="NormalWeb"/>
        <w:spacing w:before="0" w:beforeAutospacing="0" w:after="120" w:afterAutospacing="0"/>
        <w:jc w:val="both"/>
        <w:rPr>
          <w:rFonts w:ascii="Arial" w:hAnsi="Arial" w:cs="Arial"/>
          <w:sz w:val="22"/>
          <w:szCs w:val="22"/>
        </w:rPr>
      </w:pPr>
      <w:r w:rsidRPr="00CE3CAD">
        <w:rPr>
          <w:rFonts w:ascii="Arial" w:hAnsi="Arial" w:cs="Arial"/>
          <w:color w:val="000000"/>
          <w:sz w:val="22"/>
          <w:szCs w:val="22"/>
        </w:rPr>
        <w:t xml:space="preserve">On receipt of the formal dispute letter, the designated </w:t>
      </w:r>
      <w:r w:rsidR="00E271F0">
        <w:rPr>
          <w:rFonts w:ascii="Arial" w:hAnsi="Arial" w:cs="Arial"/>
          <w:color w:val="000000"/>
          <w:sz w:val="22"/>
          <w:szCs w:val="22"/>
        </w:rPr>
        <w:t>ICB</w:t>
      </w:r>
      <w:r w:rsidRPr="00CE3CAD">
        <w:rPr>
          <w:rFonts w:ascii="Arial" w:hAnsi="Arial" w:cs="Arial"/>
          <w:color w:val="000000"/>
          <w:sz w:val="22"/>
          <w:szCs w:val="22"/>
        </w:rPr>
        <w:t xml:space="preserve"> CHC Panel Chair (or deputy) </w:t>
      </w:r>
      <w:r w:rsidRPr="00CE3CAD">
        <w:rPr>
          <w:rFonts w:ascii="Arial" w:hAnsi="Arial" w:cs="Arial"/>
          <w:kern w:val="24"/>
          <w:sz w:val="22"/>
          <w:szCs w:val="22"/>
        </w:rPr>
        <w:t xml:space="preserve">will escalate the dispute to </w:t>
      </w:r>
      <w:r w:rsidRPr="00CE3CAD">
        <w:rPr>
          <w:rFonts w:ascii="Arial" w:hAnsi="Arial" w:cs="Arial"/>
          <w:color w:val="000000"/>
          <w:sz w:val="22"/>
          <w:szCs w:val="22"/>
        </w:rPr>
        <w:t xml:space="preserve">the </w:t>
      </w:r>
      <w:r w:rsidR="00E271F0">
        <w:rPr>
          <w:rFonts w:ascii="Arial" w:hAnsi="Arial" w:cs="Arial"/>
          <w:color w:val="000000"/>
          <w:sz w:val="22"/>
          <w:szCs w:val="22"/>
        </w:rPr>
        <w:t>ICB</w:t>
      </w:r>
      <w:r w:rsidRPr="00CE3CAD">
        <w:rPr>
          <w:rFonts w:ascii="Arial" w:hAnsi="Arial" w:cs="Arial"/>
          <w:color w:val="000000"/>
          <w:sz w:val="22"/>
          <w:szCs w:val="22"/>
        </w:rPr>
        <w:t xml:space="preserve"> CHC Clinical Lead/Associate Director of Nursing and Quality, who will be responsible for convening a</w:t>
      </w:r>
      <w:r w:rsidRPr="00CE3CAD">
        <w:rPr>
          <w:rFonts w:ascii="Arial" w:hAnsi="Arial" w:cs="Arial"/>
          <w:sz w:val="22"/>
          <w:szCs w:val="22"/>
        </w:rPr>
        <w:t xml:space="preserve">n extraordinary meeting between Health and an Adult Social Care Head of Service (face to face or via MS Teams) </w:t>
      </w:r>
      <w:r w:rsidRPr="00CE3CAD">
        <w:rPr>
          <w:rFonts w:ascii="Arial" w:hAnsi="Arial" w:cs="Arial"/>
          <w:b/>
          <w:sz w:val="22"/>
          <w:szCs w:val="22"/>
        </w:rPr>
        <w:t>within 10 working days</w:t>
      </w:r>
      <w:r w:rsidRPr="00CE3CAD">
        <w:rPr>
          <w:rFonts w:ascii="Arial" w:hAnsi="Arial" w:cs="Arial"/>
          <w:sz w:val="22"/>
          <w:szCs w:val="22"/>
        </w:rPr>
        <w:t>.</w:t>
      </w:r>
      <w:r w:rsidRPr="00CE3CAD">
        <w:rPr>
          <w:rFonts w:ascii="Arial" w:hAnsi="Arial" w:cs="Arial"/>
          <w:b/>
          <w:sz w:val="22"/>
          <w:szCs w:val="22"/>
        </w:rPr>
        <w:t xml:space="preserve"> </w:t>
      </w:r>
      <w:r w:rsidRPr="00CE3CAD">
        <w:rPr>
          <w:rFonts w:ascii="Arial" w:hAnsi="Arial" w:cs="Arial"/>
          <w:sz w:val="22"/>
          <w:szCs w:val="22"/>
        </w:rPr>
        <w:t>They will further discuss and evaluate the information/evidence, to try and reach an agreement of the individual’s eligibility.</w:t>
      </w:r>
    </w:p>
    <w:p w14:paraId="32354BD8" w14:textId="1F590E86" w:rsidR="00BC7696" w:rsidRPr="00CE3CAD" w:rsidRDefault="00BC7696" w:rsidP="00BC7696">
      <w:pPr>
        <w:pStyle w:val="NoSpacing"/>
        <w:spacing w:after="120"/>
        <w:jc w:val="both"/>
        <w:rPr>
          <w:rFonts w:ascii="Arial" w:hAnsi="Arial" w:cs="Arial"/>
        </w:rPr>
      </w:pPr>
      <w:r w:rsidRPr="00CE3CAD">
        <w:rPr>
          <w:rFonts w:ascii="Arial" w:hAnsi="Arial" w:cs="Arial"/>
        </w:rPr>
        <w:t xml:space="preserve">Where no-agreement is reached, the dispute will progress to Formal Dispute Process, Stage 2 and the </w:t>
      </w:r>
      <w:r w:rsidR="00E271F0">
        <w:rPr>
          <w:rFonts w:ascii="Arial" w:hAnsi="Arial" w:cs="Arial"/>
        </w:rPr>
        <w:t>ICB</w:t>
      </w:r>
      <w:r w:rsidRPr="00CE3CAD">
        <w:rPr>
          <w:rFonts w:ascii="Arial" w:hAnsi="Arial" w:cs="Arial"/>
        </w:rPr>
        <w:t xml:space="preserve"> will communicate the outcome to the Local Authority in writing, within </w:t>
      </w:r>
      <w:r w:rsidRPr="00CE3CAD">
        <w:rPr>
          <w:rFonts w:ascii="Arial" w:hAnsi="Arial" w:cs="Arial"/>
          <w:b/>
        </w:rPr>
        <w:t>5 working days</w:t>
      </w:r>
      <w:r w:rsidRPr="00CE3CAD">
        <w:rPr>
          <w:rFonts w:ascii="Arial" w:hAnsi="Arial" w:cs="Arial"/>
        </w:rPr>
        <w:t>.</w:t>
      </w:r>
    </w:p>
    <w:p w14:paraId="41AB6F11" w14:textId="6FBFF3BA" w:rsidR="00BC7696" w:rsidRPr="00CE3CAD" w:rsidRDefault="006B486B" w:rsidP="00BC7696">
      <w:pPr>
        <w:pStyle w:val="Heading2"/>
        <w:spacing w:after="120"/>
        <w:rPr>
          <w:rFonts w:ascii="Arial" w:hAnsi="Arial" w:cs="Arial"/>
          <w:color w:val="4F81BD" w:themeColor="accent1"/>
          <w:sz w:val="24"/>
          <w:szCs w:val="24"/>
          <w:lang w:eastAsia="en-GB"/>
        </w:rPr>
      </w:pPr>
      <w:bookmarkStart w:id="16" w:name="_Toc1121337"/>
      <w:r w:rsidRPr="00CE3CAD">
        <w:rPr>
          <w:rFonts w:ascii="Arial" w:hAnsi="Arial" w:cs="Arial"/>
          <w:color w:val="4F81BD" w:themeColor="accent1"/>
          <w:sz w:val="24"/>
          <w:szCs w:val="24"/>
          <w:lang w:eastAsia="en-GB"/>
        </w:rPr>
        <w:t>5</w:t>
      </w:r>
      <w:r w:rsidR="00BC7696" w:rsidRPr="00CE3CAD">
        <w:rPr>
          <w:rFonts w:ascii="Arial" w:hAnsi="Arial" w:cs="Arial"/>
          <w:color w:val="4F81BD" w:themeColor="accent1"/>
          <w:sz w:val="24"/>
          <w:szCs w:val="24"/>
          <w:lang w:eastAsia="en-GB"/>
        </w:rPr>
        <w:t>.2</w:t>
      </w:r>
      <w:r w:rsidR="00BC7696" w:rsidRPr="00CE3CAD">
        <w:rPr>
          <w:rFonts w:ascii="Arial" w:hAnsi="Arial" w:cs="Arial"/>
          <w:color w:val="4F81BD" w:themeColor="accent1"/>
          <w:sz w:val="24"/>
          <w:szCs w:val="24"/>
          <w:lang w:eastAsia="en-GB"/>
        </w:rPr>
        <w:tab/>
        <w:t>Formal Dispute Process – STAGE 2: FINAL STAGE</w:t>
      </w:r>
      <w:bookmarkEnd w:id="16"/>
    </w:p>
    <w:p w14:paraId="68D0B198" w14:textId="77777777" w:rsidR="00BC7696" w:rsidRPr="00CE3CAD" w:rsidRDefault="00BC7696" w:rsidP="00BC7696">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0"/>
        <w:contextualSpacing w:val="0"/>
        <w:jc w:val="both"/>
        <w:rPr>
          <w:rFonts w:ascii="Arial" w:hAnsi="Arial" w:cs="Arial"/>
          <w:b/>
          <w:iCs/>
          <w:color w:val="000000" w:themeColor="text1"/>
          <w:sz w:val="22"/>
          <w:szCs w:val="22"/>
        </w:rPr>
      </w:pPr>
      <w:r w:rsidRPr="00CE3CAD">
        <w:rPr>
          <w:rFonts w:ascii="Arial" w:hAnsi="Arial" w:cs="Arial"/>
          <w:color w:val="000000"/>
          <w:sz w:val="22"/>
          <w:szCs w:val="22"/>
          <w:lang w:val="en-GB" w:eastAsia="en-GB"/>
        </w:rPr>
        <w:t>This stage involves independent arbitration and should only be invoked as a final resort and should rarely, if ever, be required.</w:t>
      </w:r>
    </w:p>
    <w:p w14:paraId="293A0CEE" w14:textId="77777777" w:rsidR="00BC7696" w:rsidRPr="00CE3CAD" w:rsidRDefault="00BC7696" w:rsidP="00BC7696">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0"/>
        <w:contextualSpacing w:val="0"/>
        <w:jc w:val="both"/>
        <w:rPr>
          <w:rFonts w:ascii="Arial" w:hAnsi="Arial" w:cs="Arial"/>
          <w:color w:val="000000"/>
          <w:sz w:val="22"/>
          <w:szCs w:val="22"/>
          <w:lang w:val="en-GB" w:eastAsia="en-GB"/>
        </w:rPr>
      </w:pPr>
      <w:r w:rsidRPr="00CE3CAD">
        <w:rPr>
          <w:rFonts w:ascii="Arial" w:hAnsi="Arial" w:cs="Arial"/>
          <w:color w:val="000000"/>
          <w:sz w:val="22"/>
          <w:szCs w:val="22"/>
          <w:lang w:val="en-GB" w:eastAsia="en-GB"/>
        </w:rPr>
        <w:t xml:space="preserve">It can only be triggered by executive managers, within the respective organisations who, in partnership must agree within </w:t>
      </w:r>
      <w:r w:rsidRPr="00CE3CAD">
        <w:rPr>
          <w:rFonts w:ascii="Arial" w:hAnsi="Arial" w:cs="Arial"/>
          <w:b/>
          <w:sz w:val="22"/>
          <w:szCs w:val="22"/>
          <w:lang w:val="en-GB" w:eastAsia="en-GB"/>
        </w:rPr>
        <w:t>20 working days</w:t>
      </w:r>
      <w:r w:rsidRPr="00CE3CAD">
        <w:rPr>
          <w:rFonts w:ascii="Arial" w:hAnsi="Arial" w:cs="Arial"/>
          <w:color w:val="000000"/>
          <w:sz w:val="22"/>
          <w:szCs w:val="22"/>
          <w:lang w:val="en-GB" w:eastAsia="en-GB"/>
        </w:rPr>
        <w:t xml:space="preserve">, how the independent arbitration is to be sourced, organised and funded. </w:t>
      </w:r>
    </w:p>
    <w:p w14:paraId="330ED1D7" w14:textId="26852150" w:rsidR="00BC7696" w:rsidRPr="00CE3CAD" w:rsidRDefault="00BC7696" w:rsidP="00BC7696">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0"/>
        <w:contextualSpacing w:val="0"/>
        <w:jc w:val="both"/>
        <w:rPr>
          <w:rFonts w:ascii="Arial" w:hAnsi="Arial" w:cs="Arial"/>
          <w:sz w:val="22"/>
          <w:szCs w:val="22"/>
          <w:bdr w:val="none" w:sz="0" w:space="0" w:color="auto"/>
          <w:lang w:val="en-GB" w:eastAsia="en-GB"/>
        </w:rPr>
      </w:pPr>
      <w:r w:rsidRPr="00CE3CAD">
        <w:rPr>
          <w:rFonts w:ascii="Arial" w:hAnsi="Arial" w:cs="Arial"/>
          <w:color w:val="000000"/>
          <w:sz w:val="22"/>
          <w:szCs w:val="22"/>
          <w:lang w:val="en-GB" w:eastAsia="en-GB"/>
        </w:rPr>
        <w:t xml:space="preserve">The identified mechanism for final resolution will involve referring the case to another </w:t>
      </w:r>
      <w:r w:rsidR="00E271F0">
        <w:rPr>
          <w:rFonts w:ascii="Arial" w:hAnsi="Arial" w:cs="Arial"/>
          <w:color w:val="000000"/>
          <w:sz w:val="22"/>
          <w:szCs w:val="22"/>
          <w:lang w:val="en-GB" w:eastAsia="en-GB"/>
        </w:rPr>
        <w:t>ICB</w:t>
      </w:r>
      <w:r w:rsidRPr="00CE3CAD">
        <w:rPr>
          <w:rFonts w:ascii="Arial" w:hAnsi="Arial" w:cs="Arial"/>
          <w:color w:val="000000"/>
          <w:sz w:val="22"/>
          <w:szCs w:val="22"/>
          <w:lang w:val="en-GB" w:eastAsia="en-GB"/>
        </w:rPr>
        <w:t xml:space="preserve"> and Local Authority outside of Lincolnshire and agreeing to accept their recommendation. </w:t>
      </w:r>
      <w:r w:rsidRPr="00CE3CAD">
        <w:rPr>
          <w:rFonts w:ascii="Arial" w:hAnsi="Arial" w:cs="Arial"/>
          <w:sz w:val="22"/>
          <w:szCs w:val="22"/>
          <w:bdr w:val="none" w:sz="0" w:space="0" w:color="auto"/>
          <w:lang w:val="en-GB" w:eastAsia="en-GB"/>
        </w:rPr>
        <w:t xml:space="preserve">A copy of all relevant documentation will be made available to the Independent Arbitration Panel, to </w:t>
      </w:r>
      <w:proofErr w:type="gramStart"/>
      <w:r w:rsidRPr="00CE3CAD">
        <w:rPr>
          <w:rFonts w:ascii="Arial" w:hAnsi="Arial" w:cs="Arial"/>
          <w:sz w:val="22"/>
          <w:szCs w:val="22"/>
          <w:bdr w:val="none" w:sz="0" w:space="0" w:color="auto"/>
          <w:lang w:val="en-GB" w:eastAsia="en-GB"/>
        </w:rPr>
        <w:t>include;</w:t>
      </w:r>
      <w:proofErr w:type="gramEnd"/>
    </w:p>
    <w:p w14:paraId="5A94F49A" w14:textId="77777777" w:rsidR="00BC7696" w:rsidRPr="00CE3CAD" w:rsidRDefault="00BC7696" w:rsidP="00BC7696">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Arial" w:hAnsi="Arial" w:cs="Arial"/>
          <w:sz w:val="22"/>
          <w:szCs w:val="22"/>
          <w:bdr w:val="none" w:sz="0" w:space="0" w:color="auto"/>
          <w:lang w:val="en-GB" w:eastAsia="en-GB"/>
        </w:rPr>
      </w:pPr>
      <w:r w:rsidRPr="00CE3CAD">
        <w:rPr>
          <w:rFonts w:ascii="Arial" w:hAnsi="Arial" w:cs="Arial"/>
          <w:sz w:val="22"/>
          <w:szCs w:val="22"/>
          <w:bdr w:val="none" w:sz="0" w:space="0" w:color="auto"/>
          <w:lang w:val="en-GB" w:eastAsia="en-GB"/>
        </w:rPr>
        <w:t>DST</w:t>
      </w:r>
    </w:p>
    <w:p w14:paraId="1F78AD6F" w14:textId="77777777" w:rsidR="00BC7696" w:rsidRPr="00CE3CAD" w:rsidRDefault="00BC7696" w:rsidP="00BC7696">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Arial" w:hAnsi="Arial" w:cs="Arial"/>
          <w:sz w:val="22"/>
          <w:szCs w:val="22"/>
          <w:bdr w:val="none" w:sz="0" w:space="0" w:color="auto"/>
          <w:lang w:val="en-GB" w:eastAsia="en-GB"/>
        </w:rPr>
      </w:pPr>
      <w:r w:rsidRPr="00CE3CAD">
        <w:rPr>
          <w:rFonts w:ascii="Arial" w:hAnsi="Arial" w:cs="Arial"/>
          <w:sz w:val="22"/>
          <w:szCs w:val="22"/>
          <w:bdr w:val="none" w:sz="0" w:space="0" w:color="auto"/>
          <w:lang w:val="en-GB" w:eastAsia="en-GB"/>
        </w:rPr>
        <w:t>All the health and social care evidence collated to support the DST</w:t>
      </w:r>
    </w:p>
    <w:p w14:paraId="73A24DF8" w14:textId="77777777" w:rsidR="00BC7696" w:rsidRPr="00CE3CAD" w:rsidRDefault="00BC7696" w:rsidP="00BC7696">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Arial" w:hAnsi="Arial" w:cs="Arial"/>
          <w:sz w:val="22"/>
          <w:szCs w:val="22"/>
          <w:bdr w:val="none" w:sz="0" w:space="0" w:color="auto"/>
          <w:lang w:val="en-GB" w:eastAsia="en-GB"/>
        </w:rPr>
      </w:pPr>
      <w:r w:rsidRPr="00CE3CAD">
        <w:rPr>
          <w:rFonts w:ascii="Arial" w:hAnsi="Arial" w:cs="Arial"/>
          <w:sz w:val="22"/>
          <w:szCs w:val="22"/>
          <w:bdr w:val="none" w:sz="0" w:space="0" w:color="auto"/>
          <w:lang w:val="en-GB" w:eastAsia="en-GB"/>
        </w:rPr>
        <w:t>Any additional evidence collated during the dispute process, to include multi agency meeting notes</w:t>
      </w:r>
    </w:p>
    <w:p w14:paraId="34960A59" w14:textId="446AF550" w:rsidR="00BC7696" w:rsidRPr="00CE3CAD" w:rsidRDefault="00BC7696" w:rsidP="00BC7696">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val="0"/>
        <w:jc w:val="both"/>
        <w:rPr>
          <w:rFonts w:ascii="Arial" w:hAnsi="Arial" w:cs="Arial"/>
          <w:sz w:val="22"/>
          <w:szCs w:val="22"/>
          <w:bdr w:val="none" w:sz="0" w:space="0" w:color="auto"/>
          <w:lang w:val="en-GB" w:eastAsia="en-GB"/>
        </w:rPr>
      </w:pPr>
      <w:r w:rsidRPr="00CE3CAD">
        <w:rPr>
          <w:rFonts w:ascii="Arial" w:hAnsi="Arial" w:cs="Arial"/>
          <w:sz w:val="22"/>
          <w:szCs w:val="22"/>
          <w:bdr w:val="none" w:sz="0" w:space="0" w:color="auto"/>
          <w:lang w:val="en-GB" w:eastAsia="en-GB"/>
        </w:rPr>
        <w:t xml:space="preserve">Written communication between the </w:t>
      </w:r>
      <w:r w:rsidR="00E271F0">
        <w:rPr>
          <w:rFonts w:ascii="Arial" w:hAnsi="Arial" w:cs="Arial"/>
          <w:sz w:val="22"/>
          <w:szCs w:val="22"/>
          <w:bdr w:val="none" w:sz="0" w:space="0" w:color="auto"/>
          <w:lang w:val="en-GB" w:eastAsia="en-GB"/>
        </w:rPr>
        <w:t>ICB</w:t>
      </w:r>
      <w:r w:rsidRPr="00CE3CAD">
        <w:rPr>
          <w:rFonts w:ascii="Arial" w:hAnsi="Arial" w:cs="Arial"/>
          <w:sz w:val="22"/>
          <w:szCs w:val="22"/>
          <w:bdr w:val="none" w:sz="0" w:space="0" w:color="auto"/>
          <w:lang w:val="en-GB" w:eastAsia="en-GB"/>
        </w:rPr>
        <w:t>, their CHC teams and LCC regarding the dispute steps and stages</w:t>
      </w:r>
    </w:p>
    <w:p w14:paraId="7B17B77E" w14:textId="1D55E4C6" w:rsidR="00BC7696" w:rsidRPr="00CE3CAD" w:rsidRDefault="00BC7696" w:rsidP="00BC769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20"/>
        <w:ind w:left="0"/>
        <w:contextualSpacing w:val="0"/>
        <w:jc w:val="both"/>
        <w:rPr>
          <w:rFonts w:ascii="Arial" w:hAnsi="Arial" w:cs="Arial"/>
          <w:iCs/>
          <w:color w:val="000000" w:themeColor="text1"/>
          <w:sz w:val="22"/>
          <w:szCs w:val="22"/>
        </w:rPr>
      </w:pPr>
      <w:r w:rsidRPr="00CE3CAD">
        <w:rPr>
          <w:rFonts w:ascii="Arial" w:hAnsi="Arial" w:cs="Arial"/>
          <w:sz w:val="22"/>
          <w:szCs w:val="22"/>
          <w:bdr w:val="none" w:sz="0" w:space="0" w:color="auto"/>
          <w:lang w:val="en-GB" w:eastAsia="en-GB"/>
        </w:rPr>
        <w:t xml:space="preserve">The Independent Arbitration Panel decision </w:t>
      </w:r>
      <w:r w:rsidRPr="00CE3CAD">
        <w:rPr>
          <w:rFonts w:ascii="Arial" w:hAnsi="Arial" w:cs="Arial"/>
          <w:sz w:val="22"/>
          <w:szCs w:val="22"/>
          <w:u w:val="single"/>
          <w:bdr w:val="none" w:sz="0" w:space="0" w:color="auto"/>
          <w:lang w:val="en-GB" w:eastAsia="en-GB"/>
        </w:rPr>
        <w:t>will be final</w:t>
      </w:r>
      <w:r w:rsidRPr="00CE3CAD">
        <w:rPr>
          <w:rFonts w:ascii="Arial" w:hAnsi="Arial" w:cs="Arial"/>
          <w:sz w:val="22"/>
          <w:szCs w:val="22"/>
          <w:bdr w:val="none" w:sz="0" w:space="0" w:color="auto"/>
          <w:lang w:val="en-GB" w:eastAsia="en-GB"/>
        </w:rPr>
        <w:t xml:space="preserve"> and accepted by all partner organisations. </w:t>
      </w:r>
      <w:r w:rsidRPr="00CE3CAD">
        <w:rPr>
          <w:rFonts w:ascii="Arial" w:hAnsi="Arial" w:cs="Arial"/>
          <w:iCs/>
          <w:color w:val="000000" w:themeColor="text1"/>
          <w:sz w:val="22"/>
          <w:szCs w:val="22"/>
        </w:rPr>
        <w:t xml:space="preserve">Once the dispute has been resolved/decision accepted, the </w:t>
      </w:r>
      <w:r w:rsidR="00E271F0">
        <w:rPr>
          <w:rFonts w:ascii="Arial" w:hAnsi="Arial" w:cs="Arial"/>
          <w:iCs/>
          <w:color w:val="000000" w:themeColor="text1"/>
          <w:sz w:val="22"/>
          <w:szCs w:val="22"/>
        </w:rPr>
        <w:t>ICB</w:t>
      </w:r>
      <w:r w:rsidRPr="00CE3CAD">
        <w:rPr>
          <w:rFonts w:ascii="Arial" w:hAnsi="Arial" w:cs="Arial"/>
          <w:iCs/>
          <w:color w:val="000000" w:themeColor="text1"/>
          <w:sz w:val="22"/>
          <w:szCs w:val="22"/>
        </w:rPr>
        <w:t xml:space="preserve"> CHC team will inform the individual and/or their representatives in writing. </w:t>
      </w:r>
    </w:p>
    <w:p w14:paraId="57E761B2" w14:textId="5242043C" w:rsidR="00BC7696" w:rsidRPr="00CE3CAD" w:rsidRDefault="00BC7696" w:rsidP="00BC769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20"/>
        <w:ind w:left="0"/>
        <w:contextualSpacing w:val="0"/>
        <w:jc w:val="both"/>
        <w:rPr>
          <w:rFonts w:ascii="Arial" w:hAnsi="Arial" w:cs="Arial"/>
          <w:iCs/>
          <w:color w:val="000000" w:themeColor="text1"/>
          <w:sz w:val="22"/>
          <w:szCs w:val="22"/>
        </w:rPr>
      </w:pPr>
      <w:r w:rsidRPr="00CE3CAD">
        <w:rPr>
          <w:rFonts w:ascii="Arial" w:hAnsi="Arial" w:cs="Arial"/>
          <w:iCs/>
          <w:color w:val="000000" w:themeColor="text1"/>
          <w:sz w:val="22"/>
          <w:szCs w:val="22"/>
        </w:rPr>
        <w:t xml:space="preserve">Where the resolution at any stage of the process results in a change in funding stream the </w:t>
      </w:r>
      <w:r w:rsidR="00E271F0">
        <w:rPr>
          <w:rFonts w:ascii="Arial" w:hAnsi="Arial" w:cs="Arial"/>
          <w:iCs/>
          <w:color w:val="000000" w:themeColor="text1"/>
          <w:sz w:val="22"/>
          <w:szCs w:val="22"/>
        </w:rPr>
        <w:t>ICB</w:t>
      </w:r>
      <w:r w:rsidRPr="00CE3CAD">
        <w:rPr>
          <w:rFonts w:ascii="Arial" w:hAnsi="Arial" w:cs="Arial"/>
          <w:iCs/>
          <w:color w:val="000000" w:themeColor="text1"/>
          <w:sz w:val="22"/>
          <w:szCs w:val="22"/>
        </w:rPr>
        <w:t xml:space="preserve"> CHC team will send a formal letter of notification to the provider, individual and/or their representative within </w:t>
      </w:r>
      <w:r w:rsidRPr="00CE3CAD">
        <w:rPr>
          <w:rFonts w:ascii="Arial" w:hAnsi="Arial" w:cs="Arial"/>
          <w:b/>
          <w:iCs/>
          <w:sz w:val="22"/>
          <w:szCs w:val="22"/>
        </w:rPr>
        <w:t>5 working days</w:t>
      </w:r>
      <w:r w:rsidRPr="00CE3CAD">
        <w:rPr>
          <w:rFonts w:ascii="Arial" w:hAnsi="Arial" w:cs="Arial"/>
          <w:iCs/>
          <w:sz w:val="22"/>
          <w:szCs w:val="22"/>
        </w:rPr>
        <w:t xml:space="preserve"> </w:t>
      </w:r>
      <w:r w:rsidRPr="00CE3CAD">
        <w:rPr>
          <w:rFonts w:ascii="Arial" w:hAnsi="Arial" w:cs="Arial"/>
          <w:iCs/>
          <w:color w:val="000000" w:themeColor="text1"/>
          <w:sz w:val="22"/>
          <w:szCs w:val="22"/>
        </w:rPr>
        <w:t xml:space="preserve">of the </w:t>
      </w:r>
      <w:proofErr w:type="gramStart"/>
      <w:r w:rsidRPr="00CE3CAD">
        <w:rPr>
          <w:rFonts w:ascii="Arial" w:hAnsi="Arial" w:cs="Arial"/>
          <w:iCs/>
          <w:color w:val="000000" w:themeColor="text1"/>
          <w:sz w:val="22"/>
          <w:szCs w:val="22"/>
        </w:rPr>
        <w:t>decision;</w:t>
      </w:r>
      <w:proofErr w:type="gramEnd"/>
      <w:r w:rsidRPr="00CE3CAD">
        <w:rPr>
          <w:rFonts w:ascii="Arial" w:hAnsi="Arial" w:cs="Arial"/>
          <w:iCs/>
          <w:color w:val="000000" w:themeColor="text1"/>
          <w:sz w:val="22"/>
          <w:szCs w:val="22"/>
        </w:rPr>
        <w:t xml:space="preserve"> advising them of the change and where appropriate the reimbursement process.</w:t>
      </w:r>
    </w:p>
    <w:p w14:paraId="629BCC7E" w14:textId="3C9337D4" w:rsidR="00BC7696" w:rsidRPr="00CE3CAD" w:rsidRDefault="00BC7696" w:rsidP="00BC7696">
      <w:pPr>
        <w:pStyle w:val="Heading1"/>
        <w:spacing w:after="120"/>
        <w:rPr>
          <w:rFonts w:ascii="Arial" w:eastAsia="Calibri" w:hAnsi="Arial" w:cs="Arial"/>
        </w:rPr>
      </w:pPr>
      <w:bookmarkStart w:id="17" w:name="_Toc1121338"/>
    </w:p>
    <w:p w14:paraId="76D193DB" w14:textId="61224293" w:rsidR="00516580" w:rsidRPr="00CE3CAD" w:rsidRDefault="00516580" w:rsidP="00516580">
      <w:pPr>
        <w:rPr>
          <w:rFonts w:ascii="Arial" w:hAnsi="Arial" w:cs="Arial"/>
          <w:lang w:val="en-US"/>
        </w:rPr>
      </w:pPr>
    </w:p>
    <w:p w14:paraId="7A60F1B7" w14:textId="74260465" w:rsidR="00516580" w:rsidRPr="00CE3CAD" w:rsidRDefault="00516580" w:rsidP="00516580">
      <w:pPr>
        <w:rPr>
          <w:rFonts w:ascii="Arial" w:hAnsi="Arial" w:cs="Arial"/>
          <w:lang w:val="en-US"/>
        </w:rPr>
      </w:pPr>
    </w:p>
    <w:p w14:paraId="71838DE6" w14:textId="77777777" w:rsidR="00516580" w:rsidRPr="00CE3CAD" w:rsidRDefault="00516580" w:rsidP="00516580">
      <w:pPr>
        <w:rPr>
          <w:rFonts w:ascii="Arial" w:hAnsi="Arial" w:cs="Arial"/>
          <w:lang w:val="en-US"/>
        </w:rPr>
      </w:pPr>
    </w:p>
    <w:p w14:paraId="3ADE4ACC" w14:textId="77777777" w:rsidR="00B824E1" w:rsidRPr="00CE3CAD" w:rsidRDefault="00B824E1" w:rsidP="00B824E1">
      <w:pPr>
        <w:pStyle w:val="Heading1"/>
        <w:spacing w:after="120"/>
        <w:rPr>
          <w:rFonts w:ascii="Arial" w:eastAsia="Calibri" w:hAnsi="Arial" w:cs="Arial"/>
          <w:color w:val="4F81BD" w:themeColor="accent1"/>
        </w:rPr>
      </w:pPr>
    </w:p>
    <w:p w14:paraId="0E00EE05" w14:textId="75939C40" w:rsidR="00BC7696" w:rsidRPr="00CE3CAD" w:rsidRDefault="00BC7696" w:rsidP="00B824E1">
      <w:pPr>
        <w:pStyle w:val="Heading1"/>
        <w:spacing w:after="120"/>
        <w:rPr>
          <w:rFonts w:ascii="Arial" w:eastAsia="Calibri" w:hAnsi="Arial" w:cs="Arial"/>
          <w:color w:val="4F81BD" w:themeColor="accent1"/>
        </w:rPr>
      </w:pPr>
      <w:r w:rsidRPr="00CE3CAD">
        <w:rPr>
          <w:rFonts w:ascii="Arial" w:eastAsia="Calibri" w:hAnsi="Arial" w:cs="Arial"/>
          <w:color w:val="4F81BD" w:themeColor="accent1"/>
        </w:rPr>
        <w:t>JOINT FUND DISPUTE</w:t>
      </w:r>
      <w:bookmarkEnd w:id="17"/>
    </w:p>
    <w:p w14:paraId="54B7ED0A" w14:textId="77777777" w:rsidR="00BC7696" w:rsidRPr="00CE3CAD" w:rsidRDefault="00BC7696" w:rsidP="00BC7696">
      <w:pPr>
        <w:pStyle w:val="NoSpacing"/>
        <w:spacing w:after="120"/>
        <w:jc w:val="both"/>
        <w:rPr>
          <w:rFonts w:ascii="Arial" w:hAnsi="Arial" w:cs="Arial"/>
          <w:iCs/>
          <w:color w:val="000000" w:themeColor="text1"/>
        </w:rPr>
      </w:pPr>
      <w:r w:rsidRPr="00CE3CAD">
        <w:rPr>
          <w:rFonts w:ascii="Arial" w:hAnsi="Arial" w:cs="Arial"/>
          <w:iCs/>
          <w:color w:val="000000" w:themeColor="text1"/>
        </w:rPr>
        <w:t xml:space="preserve">In the event a person is not eligible for NHS Continuing Healthcare, they may potentially receive a joint package of health and social care. This is where an individual’s care or support package is funded by both the NHS and the LA. This may apply where specific needs have been identified through the DST that are beyond the powers of the LA to meet on its own. This could be because the specific needs are not of a nature that a LA could be expected to meet, or because they are not incidental or ancillary to something which the LA would be doing to meet needs under sections 18-20 of the Care Act 2014. </w:t>
      </w:r>
    </w:p>
    <w:p w14:paraId="2F0D6D74" w14:textId="51B2CC3A" w:rsidR="00BC7696" w:rsidRPr="00CE3CAD" w:rsidRDefault="00BC7696" w:rsidP="00BC7696">
      <w:pPr>
        <w:pStyle w:val="NoSpacing"/>
        <w:spacing w:after="120"/>
        <w:jc w:val="both"/>
        <w:rPr>
          <w:rFonts w:ascii="Arial" w:hAnsi="Arial" w:cs="Arial"/>
          <w:iCs/>
          <w:color w:val="000000" w:themeColor="text1"/>
        </w:rPr>
      </w:pPr>
      <w:r w:rsidRPr="00CE3CAD">
        <w:rPr>
          <w:rFonts w:ascii="Arial" w:hAnsi="Arial" w:cs="Arial"/>
          <w:iCs/>
          <w:color w:val="000000" w:themeColor="text1"/>
        </w:rPr>
        <w:t xml:space="preserve">The case would be presented at the </w:t>
      </w:r>
      <w:r w:rsidR="00E271F0">
        <w:rPr>
          <w:rFonts w:ascii="Arial" w:hAnsi="Arial" w:cs="Arial"/>
          <w:iCs/>
          <w:color w:val="000000" w:themeColor="text1"/>
        </w:rPr>
        <w:t>ICB</w:t>
      </w:r>
      <w:r w:rsidRPr="00CE3CAD">
        <w:rPr>
          <w:rFonts w:ascii="Arial" w:hAnsi="Arial" w:cs="Arial"/>
          <w:iCs/>
          <w:color w:val="000000" w:themeColor="text1"/>
        </w:rPr>
        <w:t xml:space="preserve"> CHC Panel, with representation from Lincolnshire </w:t>
      </w:r>
      <w:r w:rsidR="00E271F0">
        <w:rPr>
          <w:rFonts w:ascii="Arial" w:hAnsi="Arial" w:cs="Arial"/>
          <w:iCs/>
          <w:color w:val="000000" w:themeColor="text1"/>
        </w:rPr>
        <w:t>ICB</w:t>
      </w:r>
      <w:r w:rsidRPr="00CE3CAD">
        <w:rPr>
          <w:rFonts w:ascii="Arial" w:hAnsi="Arial" w:cs="Arial"/>
          <w:iCs/>
          <w:color w:val="000000" w:themeColor="text1"/>
        </w:rPr>
        <w:t xml:space="preserve">s and LCC Adult Social Care. The purpose of the </w:t>
      </w:r>
      <w:r w:rsidR="00E271F0">
        <w:rPr>
          <w:rFonts w:ascii="Arial" w:hAnsi="Arial" w:cs="Arial"/>
          <w:iCs/>
          <w:color w:val="000000" w:themeColor="text1"/>
        </w:rPr>
        <w:t>ICB</w:t>
      </w:r>
      <w:r w:rsidRPr="00CE3CAD">
        <w:rPr>
          <w:rFonts w:ascii="Arial" w:hAnsi="Arial" w:cs="Arial"/>
          <w:iCs/>
          <w:color w:val="000000" w:themeColor="text1"/>
        </w:rPr>
        <w:t xml:space="preserve"> CHC Panel meeting is to determine whether the individual’s assessed health needs can be met via statutory provision or whether there is a need to fund additional healthcare services. </w:t>
      </w:r>
    </w:p>
    <w:p w14:paraId="312CC64C" w14:textId="77777777" w:rsidR="00BC7696" w:rsidRPr="00CE3CAD" w:rsidRDefault="00BC7696" w:rsidP="00BC7696">
      <w:pPr>
        <w:pStyle w:val="NoSpacing"/>
        <w:spacing w:after="120"/>
        <w:jc w:val="both"/>
        <w:rPr>
          <w:rFonts w:ascii="Arial" w:hAnsi="Arial" w:cs="Arial"/>
          <w:iCs/>
          <w:color w:val="000000" w:themeColor="text1"/>
        </w:rPr>
      </w:pPr>
      <w:r w:rsidRPr="00CE3CAD">
        <w:rPr>
          <w:rFonts w:ascii="Arial" w:hAnsi="Arial" w:cs="Arial"/>
          <w:iCs/>
          <w:color w:val="000000" w:themeColor="text1"/>
        </w:rPr>
        <w:t>It should be noted that joint packages can be provided in any setting (National Framework paragraph 263).</w:t>
      </w:r>
    </w:p>
    <w:p w14:paraId="1DC00C35" w14:textId="77777777" w:rsidR="00BC7696" w:rsidRPr="00CE3CAD" w:rsidRDefault="00BC7696" w:rsidP="00BC7696">
      <w:pPr>
        <w:pStyle w:val="NoSpacing"/>
        <w:spacing w:after="120"/>
        <w:jc w:val="both"/>
        <w:rPr>
          <w:rFonts w:ascii="Arial" w:hAnsi="Arial" w:cs="Arial"/>
          <w:iCs/>
          <w:color w:val="000000" w:themeColor="text1"/>
        </w:rPr>
      </w:pPr>
      <w:r w:rsidRPr="00CE3CAD">
        <w:rPr>
          <w:rFonts w:ascii="Arial" w:hAnsi="Arial" w:cs="Arial"/>
          <w:iCs/>
          <w:color w:val="000000" w:themeColor="text1"/>
        </w:rPr>
        <w:t xml:space="preserve">The range of services the NHS is expected to </w:t>
      </w:r>
      <w:proofErr w:type="gramStart"/>
      <w:r w:rsidRPr="00CE3CAD">
        <w:rPr>
          <w:rFonts w:ascii="Arial" w:hAnsi="Arial" w:cs="Arial"/>
          <w:iCs/>
          <w:color w:val="000000" w:themeColor="text1"/>
        </w:rPr>
        <w:t>arrange</w:t>
      </w:r>
      <w:proofErr w:type="gramEnd"/>
      <w:r w:rsidRPr="00CE3CAD">
        <w:rPr>
          <w:rFonts w:ascii="Arial" w:hAnsi="Arial" w:cs="Arial"/>
          <w:iCs/>
          <w:color w:val="000000" w:themeColor="text1"/>
        </w:rPr>
        <w:t xml:space="preserve"> and fund includes, but is not limited to;</w:t>
      </w:r>
    </w:p>
    <w:p w14:paraId="06AF12BA" w14:textId="3589A1A5" w:rsidR="00516580" w:rsidRPr="00CE3CAD" w:rsidRDefault="00BC7696" w:rsidP="00516580">
      <w:pPr>
        <w:pStyle w:val="NoSpacing"/>
        <w:numPr>
          <w:ilvl w:val="0"/>
          <w:numId w:val="6"/>
        </w:numPr>
        <w:spacing w:after="120"/>
        <w:jc w:val="both"/>
        <w:rPr>
          <w:rFonts w:ascii="Arial" w:hAnsi="Arial" w:cs="Arial"/>
          <w:iCs/>
          <w:color w:val="000000" w:themeColor="text1"/>
        </w:rPr>
      </w:pPr>
      <w:r w:rsidRPr="00CE3CAD">
        <w:rPr>
          <w:rFonts w:ascii="Arial" w:hAnsi="Arial" w:cs="Arial"/>
          <w:iCs/>
          <w:color w:val="000000" w:themeColor="text1"/>
        </w:rPr>
        <w:t>Primary Healthcare</w:t>
      </w:r>
    </w:p>
    <w:p w14:paraId="1AE514C3" w14:textId="77777777" w:rsidR="00BC7696" w:rsidRPr="00CE3CAD" w:rsidRDefault="00BC7696" w:rsidP="00BC7696">
      <w:pPr>
        <w:pStyle w:val="NoSpacing"/>
        <w:numPr>
          <w:ilvl w:val="1"/>
          <w:numId w:val="6"/>
        </w:numPr>
        <w:spacing w:after="120"/>
        <w:jc w:val="both"/>
        <w:rPr>
          <w:rFonts w:ascii="Arial" w:hAnsi="Arial" w:cs="Arial"/>
          <w:iCs/>
          <w:color w:val="000000" w:themeColor="text1"/>
        </w:rPr>
      </w:pPr>
      <w:r w:rsidRPr="00CE3CAD">
        <w:rPr>
          <w:rFonts w:ascii="Arial" w:hAnsi="Arial" w:cs="Arial"/>
          <w:iCs/>
          <w:color w:val="000000" w:themeColor="text1"/>
        </w:rPr>
        <w:t>Assessment involving doctors and registered nurses</w:t>
      </w:r>
    </w:p>
    <w:p w14:paraId="615A484A" w14:textId="77777777" w:rsidR="00BC7696" w:rsidRPr="00CE3CAD" w:rsidRDefault="00BC7696" w:rsidP="00BC7696">
      <w:pPr>
        <w:pStyle w:val="NoSpacing"/>
        <w:numPr>
          <w:ilvl w:val="1"/>
          <w:numId w:val="6"/>
        </w:numPr>
        <w:spacing w:after="120"/>
        <w:jc w:val="both"/>
        <w:rPr>
          <w:rFonts w:ascii="Arial" w:hAnsi="Arial" w:cs="Arial"/>
          <w:iCs/>
          <w:color w:val="000000" w:themeColor="text1"/>
        </w:rPr>
      </w:pPr>
      <w:r w:rsidRPr="00CE3CAD">
        <w:rPr>
          <w:rFonts w:ascii="Arial" w:hAnsi="Arial" w:cs="Arial"/>
          <w:iCs/>
          <w:color w:val="000000" w:themeColor="text1"/>
        </w:rPr>
        <w:t>Rehabilitation/reablement and recovery (where this forms part of an overall package of NHS care, as distinct from intermediate care)</w:t>
      </w:r>
    </w:p>
    <w:p w14:paraId="5F943BB6" w14:textId="77777777" w:rsidR="00BC7696" w:rsidRPr="00CE3CAD" w:rsidRDefault="00BC7696" w:rsidP="00BC7696">
      <w:pPr>
        <w:pStyle w:val="NoSpacing"/>
        <w:numPr>
          <w:ilvl w:val="1"/>
          <w:numId w:val="6"/>
        </w:numPr>
        <w:spacing w:after="120"/>
        <w:jc w:val="both"/>
        <w:rPr>
          <w:rFonts w:ascii="Arial" w:hAnsi="Arial" w:cs="Arial"/>
          <w:iCs/>
          <w:color w:val="000000" w:themeColor="text1"/>
        </w:rPr>
      </w:pPr>
      <w:r w:rsidRPr="00CE3CAD">
        <w:rPr>
          <w:rFonts w:ascii="Arial" w:hAnsi="Arial" w:cs="Arial"/>
          <w:iCs/>
          <w:color w:val="000000" w:themeColor="text1"/>
        </w:rPr>
        <w:t>Respite healthcare</w:t>
      </w:r>
    </w:p>
    <w:p w14:paraId="54C3A67C" w14:textId="77777777" w:rsidR="00BC7696" w:rsidRPr="00CE3CAD" w:rsidRDefault="00BC7696" w:rsidP="00BC7696">
      <w:pPr>
        <w:pStyle w:val="NoSpacing"/>
        <w:numPr>
          <w:ilvl w:val="1"/>
          <w:numId w:val="6"/>
        </w:numPr>
        <w:spacing w:after="120"/>
        <w:jc w:val="both"/>
        <w:rPr>
          <w:rFonts w:ascii="Arial" w:hAnsi="Arial" w:cs="Arial"/>
          <w:iCs/>
          <w:color w:val="000000" w:themeColor="text1"/>
        </w:rPr>
      </w:pPr>
      <w:r w:rsidRPr="00CE3CAD">
        <w:rPr>
          <w:rFonts w:ascii="Arial" w:hAnsi="Arial" w:cs="Arial"/>
          <w:iCs/>
          <w:color w:val="000000" w:themeColor="text1"/>
        </w:rPr>
        <w:t>Community health services</w:t>
      </w:r>
    </w:p>
    <w:p w14:paraId="70D6B611" w14:textId="77777777" w:rsidR="00BC7696" w:rsidRPr="00CE3CAD" w:rsidRDefault="00BC7696" w:rsidP="00BC7696">
      <w:pPr>
        <w:pStyle w:val="NoSpacing"/>
        <w:numPr>
          <w:ilvl w:val="1"/>
          <w:numId w:val="6"/>
        </w:numPr>
        <w:spacing w:after="120"/>
        <w:jc w:val="both"/>
        <w:rPr>
          <w:rFonts w:ascii="Arial" w:hAnsi="Arial" w:cs="Arial"/>
          <w:iCs/>
          <w:color w:val="000000" w:themeColor="text1"/>
        </w:rPr>
      </w:pPr>
      <w:r w:rsidRPr="00CE3CAD">
        <w:rPr>
          <w:rFonts w:ascii="Arial" w:hAnsi="Arial" w:cs="Arial"/>
          <w:iCs/>
          <w:color w:val="000000" w:themeColor="text1"/>
        </w:rPr>
        <w:t>Specialist support for healthcare needs</w:t>
      </w:r>
    </w:p>
    <w:p w14:paraId="231A0FBB" w14:textId="52381A82" w:rsidR="00516580" w:rsidRPr="00CE3CAD" w:rsidRDefault="00BC7696" w:rsidP="00B824E1">
      <w:pPr>
        <w:pStyle w:val="NoSpacing"/>
        <w:numPr>
          <w:ilvl w:val="1"/>
          <w:numId w:val="6"/>
        </w:numPr>
        <w:spacing w:after="120"/>
        <w:jc w:val="both"/>
        <w:rPr>
          <w:rFonts w:ascii="Arial" w:hAnsi="Arial" w:cs="Arial"/>
          <w:iCs/>
          <w:color w:val="000000" w:themeColor="text1"/>
        </w:rPr>
      </w:pPr>
      <w:r w:rsidRPr="00CE3CAD">
        <w:rPr>
          <w:rFonts w:ascii="Arial" w:hAnsi="Arial" w:cs="Arial"/>
          <w:iCs/>
          <w:color w:val="000000" w:themeColor="text1"/>
        </w:rPr>
        <w:t>Palliative care and end of life healthcare</w:t>
      </w:r>
    </w:p>
    <w:p w14:paraId="2137CE22" w14:textId="7120772C" w:rsidR="00BC7696" w:rsidRPr="00CE3CAD" w:rsidRDefault="00516580" w:rsidP="00BC7696">
      <w:pPr>
        <w:pStyle w:val="Heading2"/>
        <w:spacing w:after="120"/>
        <w:rPr>
          <w:rFonts w:ascii="Arial" w:eastAsia="Calibri" w:hAnsi="Arial" w:cs="Arial"/>
          <w:color w:val="4F81BD" w:themeColor="accent1"/>
          <w:sz w:val="24"/>
          <w:szCs w:val="24"/>
        </w:rPr>
      </w:pPr>
      <w:bookmarkStart w:id="18" w:name="_Toc1121341"/>
      <w:r w:rsidRPr="00CE3CAD">
        <w:rPr>
          <w:rFonts w:ascii="Arial" w:eastAsia="Calibri" w:hAnsi="Arial" w:cs="Arial"/>
          <w:color w:val="4F81BD" w:themeColor="accent1"/>
        </w:rPr>
        <w:t>6</w:t>
      </w:r>
      <w:r w:rsidR="00BC7696" w:rsidRPr="00CE3CAD">
        <w:rPr>
          <w:rFonts w:ascii="Arial" w:eastAsia="Calibri" w:hAnsi="Arial" w:cs="Arial"/>
          <w:color w:val="4F81BD" w:themeColor="accent1"/>
        </w:rPr>
        <w:t>.1</w:t>
      </w:r>
      <w:bookmarkEnd w:id="18"/>
      <w:r w:rsidR="00DE0F46" w:rsidRPr="00CE3CAD">
        <w:rPr>
          <w:rFonts w:ascii="Arial" w:eastAsia="Calibri" w:hAnsi="Arial" w:cs="Arial"/>
          <w:color w:val="4F81BD" w:themeColor="accent1"/>
        </w:rPr>
        <w:t xml:space="preserve">      </w:t>
      </w:r>
      <w:r w:rsidRPr="00CE3CAD">
        <w:rPr>
          <w:rFonts w:ascii="Arial" w:eastAsia="Calibri" w:hAnsi="Arial" w:cs="Arial"/>
          <w:color w:val="4F81BD" w:themeColor="accent1"/>
          <w:sz w:val="24"/>
          <w:szCs w:val="24"/>
        </w:rPr>
        <w:t>Joint Fund – Informal Process</w:t>
      </w:r>
    </w:p>
    <w:p w14:paraId="74EBA186" w14:textId="0031F6AA" w:rsidR="00BC7696" w:rsidRPr="00CE3CAD" w:rsidRDefault="00BC7696" w:rsidP="00BC7696">
      <w:pPr>
        <w:autoSpaceDE w:val="0"/>
        <w:autoSpaceDN w:val="0"/>
        <w:adjustRightInd w:val="0"/>
        <w:spacing w:after="120"/>
        <w:jc w:val="both"/>
        <w:rPr>
          <w:rFonts w:ascii="Arial" w:eastAsia="Calibri" w:hAnsi="Arial" w:cs="Arial"/>
        </w:rPr>
      </w:pPr>
      <w:r w:rsidRPr="00CE3CAD">
        <w:rPr>
          <w:rFonts w:ascii="Arial" w:eastAsia="Calibri" w:hAnsi="Arial" w:cs="Arial"/>
        </w:rPr>
        <w:t xml:space="preserve">Once the individual has been deemed not eligible for CHC (Full Fund) but there remains a dispute over whether there should be a Joint Fund package of care, all evidence for consideration should be collated, and the case will be requested by the CHC Lead Coordinator to be reviewed via the SOP by the </w:t>
      </w:r>
      <w:r w:rsidR="00E271F0">
        <w:rPr>
          <w:rFonts w:ascii="Arial" w:eastAsia="Calibri" w:hAnsi="Arial" w:cs="Arial"/>
        </w:rPr>
        <w:t>ICB</w:t>
      </w:r>
      <w:r w:rsidRPr="00CE3CAD">
        <w:rPr>
          <w:rFonts w:ascii="Arial" w:eastAsia="Calibri" w:hAnsi="Arial" w:cs="Arial"/>
        </w:rPr>
        <w:t xml:space="preserve"> CHC Panel.</w:t>
      </w:r>
    </w:p>
    <w:p w14:paraId="0EA09435" w14:textId="348624F9" w:rsidR="00BC7696" w:rsidRPr="00CE3CAD" w:rsidRDefault="00BC7696" w:rsidP="00BC7696">
      <w:pPr>
        <w:autoSpaceDE w:val="0"/>
        <w:autoSpaceDN w:val="0"/>
        <w:adjustRightInd w:val="0"/>
        <w:spacing w:after="120"/>
        <w:jc w:val="both"/>
        <w:rPr>
          <w:rFonts w:ascii="Arial" w:eastAsia="Calibri" w:hAnsi="Arial" w:cs="Arial"/>
        </w:rPr>
      </w:pPr>
      <w:r w:rsidRPr="00CE3CAD">
        <w:rPr>
          <w:rFonts w:ascii="Arial" w:hAnsi="Arial" w:cs="Arial"/>
        </w:rPr>
        <w:t xml:space="preserve">The </w:t>
      </w:r>
      <w:r w:rsidR="00E271F0">
        <w:rPr>
          <w:rFonts w:ascii="Arial" w:hAnsi="Arial" w:cs="Arial"/>
        </w:rPr>
        <w:t>ICB</w:t>
      </w:r>
      <w:r w:rsidRPr="00CE3CAD">
        <w:rPr>
          <w:rFonts w:ascii="Arial" w:hAnsi="Arial" w:cs="Arial"/>
        </w:rPr>
        <w:t xml:space="preserve"> CHC Panel will make a determination as to whether Joint Funding is </w:t>
      </w:r>
      <w:proofErr w:type="gramStart"/>
      <w:r w:rsidRPr="00CE3CAD">
        <w:rPr>
          <w:rFonts w:ascii="Arial" w:hAnsi="Arial" w:cs="Arial"/>
        </w:rPr>
        <w:t>required</w:t>
      </w:r>
      <w:proofErr w:type="gramEnd"/>
      <w:r w:rsidRPr="00CE3CAD">
        <w:rPr>
          <w:rFonts w:ascii="Arial" w:hAnsi="Arial" w:cs="Arial"/>
        </w:rPr>
        <w:t xml:space="preserve"> and </w:t>
      </w:r>
      <w:r w:rsidRPr="00CE3CAD">
        <w:rPr>
          <w:rFonts w:ascii="Arial" w:hAnsi="Arial" w:cs="Arial"/>
          <w:iCs/>
          <w:color w:val="000000" w:themeColor="text1"/>
        </w:rPr>
        <w:t xml:space="preserve">the Chair will be responsible for notifying the members of DST/Review MDT. </w:t>
      </w:r>
      <w:r w:rsidRPr="00CE3CAD">
        <w:rPr>
          <w:rFonts w:ascii="Arial" w:eastAsia="Calibri" w:hAnsi="Arial" w:cs="Arial"/>
        </w:rPr>
        <w:t xml:space="preserve">Formal notification will be sent by letter to the individual and/or their representative and copied to the Local Authority, within </w:t>
      </w:r>
      <w:r w:rsidRPr="00CE3CAD">
        <w:rPr>
          <w:rFonts w:ascii="Arial" w:eastAsia="Calibri" w:hAnsi="Arial" w:cs="Arial"/>
          <w:b/>
        </w:rPr>
        <w:t>5 working days</w:t>
      </w:r>
      <w:r w:rsidRPr="00CE3CAD">
        <w:rPr>
          <w:rFonts w:ascii="Arial" w:eastAsia="Calibri" w:hAnsi="Arial" w:cs="Arial"/>
        </w:rPr>
        <w:t xml:space="preserve"> of the meeting.</w:t>
      </w:r>
    </w:p>
    <w:p w14:paraId="79C583AB" w14:textId="2CEE1F2F" w:rsidR="00BC7696" w:rsidRPr="00CE3CAD" w:rsidRDefault="00BC7696" w:rsidP="00516580">
      <w:pPr>
        <w:pStyle w:val="NoSpacing"/>
        <w:spacing w:after="120"/>
        <w:jc w:val="both"/>
        <w:rPr>
          <w:rFonts w:ascii="Arial" w:hAnsi="Arial" w:cs="Arial"/>
        </w:rPr>
      </w:pPr>
      <w:r w:rsidRPr="00CE3CAD">
        <w:rPr>
          <w:rFonts w:ascii="Arial" w:hAnsi="Arial" w:cs="Arial"/>
        </w:rPr>
        <w:t xml:space="preserve">In the event where the LCC adult care panel representative does not agree with the outcome, a formal dispute can be raised </w:t>
      </w:r>
      <w:r w:rsidRPr="00CE3CAD">
        <w:rPr>
          <w:rFonts w:ascii="Arial" w:hAnsi="Arial" w:cs="Arial"/>
          <w:u w:val="single"/>
        </w:rPr>
        <w:t>in writing</w:t>
      </w:r>
      <w:r w:rsidRPr="00CE3CAD">
        <w:rPr>
          <w:rFonts w:ascii="Arial" w:hAnsi="Arial" w:cs="Arial"/>
        </w:rPr>
        <w:t xml:space="preserve"> by the Local Authority Head of Service</w:t>
      </w:r>
      <w:r w:rsidRPr="00CE3CAD">
        <w:rPr>
          <w:rFonts w:ascii="Arial" w:hAnsi="Arial" w:cs="Arial"/>
          <w:color w:val="FF0000"/>
        </w:rPr>
        <w:t xml:space="preserve"> </w:t>
      </w:r>
      <w:r w:rsidRPr="00CE3CAD">
        <w:rPr>
          <w:rFonts w:ascii="Arial" w:hAnsi="Arial" w:cs="Arial"/>
        </w:rPr>
        <w:t xml:space="preserve">to the </w:t>
      </w:r>
      <w:r w:rsidR="00E271F0">
        <w:rPr>
          <w:rFonts w:ascii="Arial" w:hAnsi="Arial" w:cs="Arial"/>
        </w:rPr>
        <w:t>ICB</w:t>
      </w:r>
      <w:r w:rsidRPr="00CE3CAD">
        <w:rPr>
          <w:rFonts w:ascii="Arial" w:hAnsi="Arial" w:cs="Arial"/>
        </w:rPr>
        <w:t xml:space="preserve"> and present a written submission to the </w:t>
      </w:r>
      <w:r w:rsidR="00E271F0">
        <w:rPr>
          <w:rFonts w:ascii="Arial" w:hAnsi="Arial" w:cs="Arial"/>
        </w:rPr>
        <w:t>ICB</w:t>
      </w:r>
      <w:r w:rsidRPr="00CE3CAD">
        <w:rPr>
          <w:rFonts w:ascii="Arial" w:hAnsi="Arial" w:cs="Arial"/>
        </w:rPr>
        <w:t xml:space="preserve"> CHC Panel Chair requesting submission for consideration through a formal process </w:t>
      </w:r>
      <w:r w:rsidRPr="00CE3CAD">
        <w:rPr>
          <w:rFonts w:ascii="Arial" w:hAnsi="Arial" w:cs="Arial"/>
          <w:b/>
        </w:rPr>
        <w:t>within 10 working days</w:t>
      </w:r>
      <w:r w:rsidRPr="00CE3CAD">
        <w:rPr>
          <w:rFonts w:ascii="Arial" w:hAnsi="Arial" w:cs="Arial"/>
        </w:rPr>
        <w:t>, as outlined above.</w:t>
      </w:r>
      <w:bookmarkStart w:id="19" w:name="_Toc1121342"/>
    </w:p>
    <w:bookmarkEnd w:id="19"/>
    <w:p w14:paraId="29592F15" w14:textId="51513CA1" w:rsidR="00BC7696" w:rsidRPr="00CE3CAD" w:rsidRDefault="00516580" w:rsidP="00BC7696">
      <w:pPr>
        <w:pStyle w:val="Heading2"/>
        <w:spacing w:after="120"/>
        <w:rPr>
          <w:rFonts w:ascii="Arial" w:hAnsi="Arial" w:cs="Arial"/>
          <w:color w:val="4F81BD" w:themeColor="accent1"/>
          <w:sz w:val="24"/>
          <w:szCs w:val="24"/>
        </w:rPr>
      </w:pPr>
      <w:r w:rsidRPr="00CE3CAD">
        <w:rPr>
          <w:rFonts w:ascii="Arial" w:hAnsi="Arial" w:cs="Arial"/>
          <w:color w:val="4F81BD" w:themeColor="accent1"/>
          <w:sz w:val="24"/>
          <w:szCs w:val="24"/>
        </w:rPr>
        <w:t>6.2      Joint Fund – Formal Process</w:t>
      </w:r>
    </w:p>
    <w:p w14:paraId="5D700B20" w14:textId="3D5C6360" w:rsidR="00BC7696" w:rsidRPr="00CE3CAD" w:rsidRDefault="00BC7696" w:rsidP="00BC7696">
      <w:pPr>
        <w:pStyle w:val="NormalWeb"/>
        <w:spacing w:before="0" w:beforeAutospacing="0" w:after="120" w:afterAutospacing="0"/>
        <w:jc w:val="both"/>
        <w:rPr>
          <w:rFonts w:ascii="Arial" w:hAnsi="Arial" w:cs="Arial"/>
          <w:sz w:val="22"/>
          <w:szCs w:val="22"/>
        </w:rPr>
      </w:pPr>
      <w:r w:rsidRPr="00CE3CAD">
        <w:rPr>
          <w:rFonts w:ascii="Arial" w:hAnsi="Arial" w:cs="Arial"/>
          <w:sz w:val="22"/>
          <w:szCs w:val="22"/>
        </w:rPr>
        <w:t xml:space="preserve">On receipt of the written submission, the designated </w:t>
      </w:r>
      <w:r w:rsidR="00E271F0">
        <w:rPr>
          <w:rFonts w:ascii="Arial" w:hAnsi="Arial" w:cs="Arial"/>
          <w:sz w:val="22"/>
          <w:szCs w:val="22"/>
        </w:rPr>
        <w:t>ICB</w:t>
      </w:r>
      <w:r w:rsidRPr="00CE3CAD">
        <w:rPr>
          <w:rFonts w:ascii="Arial" w:hAnsi="Arial" w:cs="Arial"/>
          <w:sz w:val="22"/>
          <w:szCs w:val="22"/>
        </w:rPr>
        <w:t xml:space="preserve"> CHC Panel Chair </w:t>
      </w:r>
      <w:r w:rsidRPr="00CE3CAD">
        <w:rPr>
          <w:rFonts w:ascii="Arial" w:hAnsi="Arial" w:cs="Arial"/>
          <w:kern w:val="24"/>
          <w:sz w:val="22"/>
          <w:szCs w:val="22"/>
        </w:rPr>
        <w:t xml:space="preserve">will escalate the dispute to </w:t>
      </w:r>
      <w:r w:rsidRPr="00CE3CAD">
        <w:rPr>
          <w:rFonts w:ascii="Arial" w:hAnsi="Arial" w:cs="Arial"/>
          <w:sz w:val="22"/>
          <w:szCs w:val="22"/>
        </w:rPr>
        <w:t xml:space="preserve">the </w:t>
      </w:r>
      <w:r w:rsidR="00E271F0">
        <w:rPr>
          <w:rFonts w:ascii="Arial" w:hAnsi="Arial" w:cs="Arial"/>
          <w:sz w:val="22"/>
          <w:szCs w:val="22"/>
        </w:rPr>
        <w:t>ICB</w:t>
      </w:r>
      <w:r w:rsidRPr="00CE3CAD">
        <w:rPr>
          <w:rFonts w:ascii="Arial" w:hAnsi="Arial" w:cs="Arial"/>
          <w:sz w:val="22"/>
          <w:szCs w:val="22"/>
        </w:rPr>
        <w:t xml:space="preserve"> CHC Clinical Lead/Associate Director of Nursing and Quality, who will be responsible for convening an extraordinary meeting between Health and Adult Social Care Head of Service (face to face or via MS Teams), </w:t>
      </w:r>
      <w:r w:rsidRPr="00CE3CAD">
        <w:rPr>
          <w:rFonts w:ascii="Arial" w:eastAsia="Calibri" w:hAnsi="Arial" w:cs="Arial"/>
          <w:sz w:val="22"/>
          <w:szCs w:val="22"/>
        </w:rPr>
        <w:t xml:space="preserve">to further consider the supportive evidence and </w:t>
      </w:r>
      <w:r w:rsidRPr="00CE3CAD">
        <w:rPr>
          <w:rFonts w:ascii="Arial" w:eastAsia="Calibri" w:hAnsi="Arial" w:cs="Arial"/>
          <w:sz w:val="22"/>
          <w:szCs w:val="22"/>
          <w:u w:val="single"/>
        </w:rPr>
        <w:t xml:space="preserve">make a final </w:t>
      </w:r>
      <w:proofErr w:type="gramStart"/>
      <w:r w:rsidRPr="00CE3CAD">
        <w:rPr>
          <w:rFonts w:ascii="Arial" w:eastAsia="Calibri" w:hAnsi="Arial" w:cs="Arial"/>
          <w:sz w:val="22"/>
          <w:szCs w:val="22"/>
          <w:u w:val="single"/>
        </w:rPr>
        <w:t>ruling</w:t>
      </w:r>
      <w:r w:rsidRPr="00CE3CAD">
        <w:rPr>
          <w:rFonts w:ascii="Arial" w:eastAsia="Calibri" w:hAnsi="Arial" w:cs="Arial"/>
          <w:sz w:val="22"/>
          <w:szCs w:val="22"/>
        </w:rPr>
        <w:t>;</w:t>
      </w:r>
      <w:proofErr w:type="gramEnd"/>
      <w:r w:rsidRPr="00CE3CAD">
        <w:rPr>
          <w:rFonts w:ascii="Arial" w:eastAsia="Calibri" w:hAnsi="Arial" w:cs="Arial"/>
          <w:sz w:val="22"/>
          <w:szCs w:val="22"/>
        </w:rPr>
        <w:t xml:space="preserve"> which will be communicated and accepted by the </w:t>
      </w:r>
      <w:r w:rsidR="00E271F0">
        <w:rPr>
          <w:rFonts w:ascii="Arial" w:eastAsia="Calibri" w:hAnsi="Arial" w:cs="Arial"/>
          <w:sz w:val="22"/>
          <w:szCs w:val="22"/>
        </w:rPr>
        <w:t>ICB</w:t>
      </w:r>
      <w:r w:rsidRPr="00CE3CAD">
        <w:rPr>
          <w:rFonts w:ascii="Arial" w:eastAsia="Calibri" w:hAnsi="Arial" w:cs="Arial"/>
          <w:sz w:val="22"/>
          <w:szCs w:val="22"/>
        </w:rPr>
        <w:t xml:space="preserve"> and LCC. This outcome should then be relayed to the individual and/or their representatives by CHC.</w:t>
      </w:r>
    </w:p>
    <w:p w14:paraId="2E67A3F1" w14:textId="25530AD7" w:rsidR="00BC7696" w:rsidRPr="00CE3CAD" w:rsidRDefault="00516580" w:rsidP="00BC7696">
      <w:pPr>
        <w:pStyle w:val="Heading1"/>
        <w:spacing w:after="120"/>
        <w:rPr>
          <w:rFonts w:ascii="Arial" w:hAnsi="Arial" w:cs="Arial"/>
          <w:color w:val="4F81BD" w:themeColor="accent1"/>
        </w:rPr>
      </w:pPr>
      <w:bookmarkStart w:id="20" w:name="_Toc1121343"/>
      <w:r w:rsidRPr="00CE3CAD">
        <w:rPr>
          <w:rFonts w:ascii="Arial" w:hAnsi="Arial" w:cs="Arial"/>
          <w:color w:val="4F81BD" w:themeColor="accent1"/>
        </w:rPr>
        <w:lastRenderedPageBreak/>
        <w:t>7</w:t>
      </w:r>
      <w:r w:rsidR="00BC7696" w:rsidRPr="00CE3CAD">
        <w:rPr>
          <w:rFonts w:ascii="Arial" w:hAnsi="Arial" w:cs="Arial"/>
          <w:color w:val="4F81BD" w:themeColor="accent1"/>
        </w:rPr>
        <w:t>.0</w:t>
      </w:r>
      <w:r w:rsidR="00BC7696" w:rsidRPr="00CE3CAD">
        <w:rPr>
          <w:rFonts w:ascii="Arial" w:hAnsi="Arial" w:cs="Arial"/>
          <w:color w:val="4F81BD" w:themeColor="accent1"/>
        </w:rPr>
        <w:tab/>
        <w:t>MONITORING &amp; REVIEW</w:t>
      </w:r>
      <w:bookmarkEnd w:id="20"/>
    </w:p>
    <w:p w14:paraId="59091BCE" w14:textId="77777777" w:rsidR="00BC7696" w:rsidRPr="00CE3CAD" w:rsidRDefault="00BC7696" w:rsidP="00BC7696">
      <w:pPr>
        <w:pStyle w:val="Level1Text"/>
        <w:spacing w:before="0" w:after="120"/>
        <w:ind w:left="0"/>
        <w:jc w:val="both"/>
        <w:rPr>
          <w:rFonts w:hAnsi="Arial" w:cs="Arial"/>
          <w:color w:val="auto"/>
          <w:lang w:val="en-GB"/>
        </w:rPr>
      </w:pPr>
      <w:r w:rsidRPr="00CE3CAD">
        <w:rPr>
          <w:rFonts w:hAnsi="Arial" w:cs="Arial"/>
          <w:color w:val="auto"/>
          <w:lang w:val="en-GB"/>
        </w:rPr>
        <w:t xml:space="preserve">A quarterly report will be drafted by the CHC Quality Leads and submitted via the CHC Governance Board. All partner organisations should jointly consider “lessons learned” and implement strategies to reduce future disputes and influence future commissioning opportunities to promote improved experience for the individual. </w:t>
      </w:r>
      <w:bookmarkStart w:id="21" w:name="_Toc387660403"/>
      <w:bookmarkStart w:id="22" w:name="_Toc1121347"/>
    </w:p>
    <w:p w14:paraId="4D7CA413" w14:textId="77777777" w:rsidR="00BC7696" w:rsidRPr="00CE3CAD" w:rsidRDefault="00BC7696" w:rsidP="00BC7696">
      <w:pPr>
        <w:pStyle w:val="Level1Text"/>
        <w:spacing w:before="0" w:after="120"/>
        <w:ind w:left="0"/>
        <w:jc w:val="both"/>
        <w:rPr>
          <w:rFonts w:hAnsi="Arial" w:cs="Arial"/>
          <w:color w:val="auto"/>
          <w:lang w:val="en-GB"/>
        </w:rPr>
      </w:pPr>
    </w:p>
    <w:p w14:paraId="41AF3881" w14:textId="77777777" w:rsidR="00BC7696" w:rsidRPr="00CE3CAD" w:rsidRDefault="00BC7696" w:rsidP="00BC7696">
      <w:pPr>
        <w:pStyle w:val="Level1Text"/>
        <w:spacing w:before="0" w:after="120"/>
        <w:ind w:left="0"/>
        <w:jc w:val="both"/>
        <w:rPr>
          <w:rFonts w:hAnsi="Arial" w:cs="Arial"/>
          <w:b/>
          <w:bCs/>
          <w:color w:val="4F81BD" w:themeColor="accent1"/>
          <w:sz w:val="28"/>
          <w:szCs w:val="28"/>
          <w:lang w:val="en-GB"/>
        </w:rPr>
      </w:pPr>
      <w:r w:rsidRPr="00CE3CAD">
        <w:rPr>
          <w:rFonts w:hAnsi="Arial" w:cs="Arial"/>
          <w:b/>
          <w:bCs/>
          <w:color w:val="4F81BD" w:themeColor="accent1"/>
          <w:sz w:val="28"/>
          <w:szCs w:val="28"/>
        </w:rPr>
        <w:t>8.0</w:t>
      </w:r>
      <w:r w:rsidRPr="00CE3CAD">
        <w:rPr>
          <w:rFonts w:hAnsi="Arial" w:cs="Arial"/>
          <w:b/>
          <w:bCs/>
          <w:color w:val="4F81BD" w:themeColor="accent1"/>
          <w:sz w:val="28"/>
          <w:szCs w:val="28"/>
        </w:rPr>
        <w:tab/>
      </w:r>
      <w:bookmarkEnd w:id="21"/>
      <w:r w:rsidRPr="00CE3CAD">
        <w:rPr>
          <w:rFonts w:hAnsi="Arial" w:cs="Arial"/>
          <w:b/>
          <w:bCs/>
          <w:color w:val="4F81BD" w:themeColor="accent1"/>
          <w:sz w:val="28"/>
          <w:szCs w:val="28"/>
        </w:rPr>
        <w:t>REIMBURSEMENT PROCESS</w:t>
      </w:r>
      <w:bookmarkEnd w:id="22"/>
    </w:p>
    <w:p w14:paraId="7A179144" w14:textId="77777777" w:rsidR="00BC7696" w:rsidRPr="00CE3CAD" w:rsidRDefault="00BC7696" w:rsidP="00BC7696">
      <w:pPr>
        <w:pStyle w:val="NoSpacing"/>
        <w:spacing w:after="120"/>
        <w:jc w:val="both"/>
        <w:rPr>
          <w:rFonts w:ascii="Arial" w:hAnsi="Arial" w:cs="Arial"/>
          <w:iCs/>
        </w:rPr>
      </w:pPr>
      <w:r w:rsidRPr="00CE3CAD">
        <w:rPr>
          <w:rFonts w:ascii="Arial" w:hAnsi="Arial" w:cs="Arial"/>
          <w:iCs/>
        </w:rPr>
        <w:t>When the resolution of a dispute results in one party needing to reimburse costs to another party, it is expected this will occur within 28 days of the date resolution was reached.</w:t>
      </w:r>
    </w:p>
    <w:p w14:paraId="752CC6D3" w14:textId="77777777" w:rsidR="00BC7696" w:rsidRPr="00CE3CAD" w:rsidRDefault="00BC7696" w:rsidP="00BC7696">
      <w:pPr>
        <w:pStyle w:val="NoSpacing"/>
        <w:spacing w:after="120"/>
        <w:jc w:val="both"/>
        <w:rPr>
          <w:rFonts w:ascii="Arial" w:hAnsi="Arial" w:cs="Arial"/>
          <w:iCs/>
        </w:rPr>
      </w:pPr>
      <w:r w:rsidRPr="00CE3CAD">
        <w:rPr>
          <w:rFonts w:ascii="Arial" w:hAnsi="Arial" w:cs="Arial"/>
          <w:iCs/>
        </w:rPr>
        <w:t>Individuals should not be disadvantaged in relation to their health and wellbeing or financial situation by the dispute resolution.</w:t>
      </w:r>
    </w:p>
    <w:p w14:paraId="51D486DC" w14:textId="77777777" w:rsidR="00BC7696" w:rsidRPr="00CE3CAD" w:rsidRDefault="00BC7696" w:rsidP="00BC7696">
      <w:pPr>
        <w:pStyle w:val="NoSpacing"/>
        <w:spacing w:after="120"/>
        <w:jc w:val="both"/>
        <w:rPr>
          <w:rFonts w:ascii="Arial" w:hAnsi="Arial" w:cs="Arial"/>
          <w:iCs/>
        </w:rPr>
      </w:pPr>
      <w:r w:rsidRPr="00CE3CAD">
        <w:rPr>
          <w:rFonts w:ascii="Arial" w:hAnsi="Arial" w:cs="Arial"/>
          <w:iCs/>
        </w:rPr>
        <w:t>Reimbursement will be in accordance with the National Framework, as outlined in Annexe E.</w:t>
      </w:r>
    </w:p>
    <w:p w14:paraId="614689A6" w14:textId="3B76A91B" w:rsidR="00BC7696" w:rsidRPr="00CE3CAD" w:rsidRDefault="00BC7696" w:rsidP="00BC7696">
      <w:pPr>
        <w:pStyle w:val="NoSpacing"/>
        <w:spacing w:after="120"/>
        <w:jc w:val="both"/>
        <w:rPr>
          <w:rFonts w:ascii="Arial" w:hAnsi="Arial" w:cs="Arial"/>
          <w:iCs/>
        </w:rPr>
      </w:pPr>
      <w:r w:rsidRPr="00CE3CAD">
        <w:rPr>
          <w:rFonts w:ascii="Arial" w:hAnsi="Arial" w:cs="Arial"/>
          <w:iCs/>
        </w:rPr>
        <w:t xml:space="preserve">Where the </w:t>
      </w:r>
      <w:r w:rsidR="00E271F0">
        <w:rPr>
          <w:rFonts w:ascii="Arial" w:hAnsi="Arial" w:cs="Arial"/>
          <w:iCs/>
        </w:rPr>
        <w:t>ICB</w:t>
      </w:r>
      <w:r w:rsidRPr="00CE3CAD">
        <w:rPr>
          <w:rFonts w:ascii="Arial" w:hAnsi="Arial" w:cs="Arial"/>
          <w:iCs/>
        </w:rPr>
        <w:t xml:space="preserve">’s decision is not eligible for NHS CHC, LCC may become responsible for funding from the date the decision is made. </w:t>
      </w:r>
    </w:p>
    <w:p w14:paraId="6A1B9C70" w14:textId="77777777" w:rsidR="00BC7696" w:rsidRPr="00CE3CAD" w:rsidRDefault="00BC7696" w:rsidP="00BC7696">
      <w:pPr>
        <w:pStyle w:val="NoSpacing"/>
        <w:spacing w:after="120"/>
        <w:jc w:val="both"/>
        <w:rPr>
          <w:rFonts w:ascii="Arial" w:hAnsi="Arial" w:cs="Arial"/>
          <w:iCs/>
        </w:rPr>
      </w:pPr>
      <w:r w:rsidRPr="00CE3CAD">
        <w:rPr>
          <w:rFonts w:ascii="Arial" w:hAnsi="Arial" w:cs="Arial"/>
          <w:iCs/>
        </w:rPr>
        <w:t xml:space="preserve">The individual will require formal notification of the resolution outcome including a </w:t>
      </w:r>
      <w:proofErr w:type="gramStart"/>
      <w:r w:rsidRPr="00CE3CAD">
        <w:rPr>
          <w:rFonts w:ascii="Arial" w:hAnsi="Arial" w:cs="Arial"/>
          <w:iCs/>
        </w:rPr>
        <w:t>14 day</w:t>
      </w:r>
      <w:proofErr w:type="gramEnd"/>
      <w:r w:rsidRPr="00CE3CAD">
        <w:rPr>
          <w:rFonts w:ascii="Arial" w:hAnsi="Arial" w:cs="Arial"/>
          <w:iCs/>
        </w:rPr>
        <w:t xml:space="preserve"> period of notice from the CHC Team that NHS Continuing Healthcare funding or the health element of a Jointly Funded Package is going to be withdrawn.</w:t>
      </w:r>
    </w:p>
    <w:p w14:paraId="404D6D8C" w14:textId="77777777" w:rsidR="00BC7696" w:rsidRPr="00CE3CAD" w:rsidRDefault="00BC7696" w:rsidP="00BC7696">
      <w:pPr>
        <w:pStyle w:val="NoSpacing"/>
        <w:spacing w:after="120"/>
        <w:jc w:val="both"/>
        <w:rPr>
          <w:rFonts w:ascii="Arial" w:hAnsi="Arial" w:cs="Arial"/>
          <w:iCs/>
        </w:rPr>
      </w:pPr>
      <w:r w:rsidRPr="00CE3CAD">
        <w:rPr>
          <w:rFonts w:ascii="Arial" w:hAnsi="Arial" w:cs="Arial"/>
          <w:iCs/>
        </w:rPr>
        <w:t>LCC will need to undertake a financial assessment to determine what the individual's financial contribution will be or whether they will be self-funding the total cost.</w:t>
      </w:r>
    </w:p>
    <w:p w14:paraId="75706D2C" w14:textId="77777777" w:rsidR="00BC7696" w:rsidRPr="00CE3CAD" w:rsidRDefault="00BC7696" w:rsidP="00BC7696">
      <w:pPr>
        <w:pStyle w:val="Heading1"/>
        <w:spacing w:after="120"/>
        <w:rPr>
          <w:rFonts w:ascii="Arial" w:hAnsi="Arial" w:cs="Arial"/>
          <w:color w:val="4F81BD" w:themeColor="accent1"/>
          <w:u w:val="single"/>
        </w:rPr>
      </w:pPr>
      <w:bookmarkStart w:id="23" w:name="_Toc1121348"/>
      <w:r w:rsidRPr="00CE3CAD">
        <w:rPr>
          <w:rFonts w:ascii="Arial" w:hAnsi="Arial" w:cs="Arial"/>
          <w:color w:val="4F81BD" w:themeColor="accent1"/>
        </w:rPr>
        <w:t>9.0</w:t>
      </w:r>
      <w:r w:rsidRPr="00CE3CAD">
        <w:rPr>
          <w:rFonts w:ascii="Arial" w:hAnsi="Arial" w:cs="Arial"/>
          <w:color w:val="4F81BD" w:themeColor="accent1"/>
        </w:rPr>
        <w:tab/>
        <w:t>DUE REGARD</w:t>
      </w:r>
      <w:bookmarkEnd w:id="23"/>
    </w:p>
    <w:p w14:paraId="75191E9A" w14:textId="77777777" w:rsidR="00BC7696" w:rsidRPr="00CE3CAD" w:rsidRDefault="00BC7696" w:rsidP="00BC7696">
      <w:pPr>
        <w:spacing w:after="120"/>
        <w:jc w:val="both"/>
        <w:rPr>
          <w:rFonts w:ascii="Arial" w:hAnsi="Arial" w:cs="Arial"/>
        </w:rPr>
      </w:pPr>
      <w:r w:rsidRPr="00CE3CAD">
        <w:rPr>
          <w:rFonts w:ascii="Arial" w:hAnsi="Arial" w:cs="Arial"/>
        </w:rPr>
        <w:t xml:space="preserve">This policy has been reviewed in relation to having due regard to the Public Sector Equality Duty (PSED) of the Equality Act 2010 to eliminate discrimination, harassment, victimisation; advance equality of opportunity; and foster good relations. </w:t>
      </w:r>
    </w:p>
    <w:p w14:paraId="5FB7F041" w14:textId="77777777" w:rsidR="00BC7696" w:rsidRPr="00CE3CAD" w:rsidRDefault="00BC7696" w:rsidP="00BC7696">
      <w:pPr>
        <w:pStyle w:val="NoSpacing"/>
        <w:spacing w:after="120"/>
        <w:contextualSpacing/>
        <w:jc w:val="both"/>
        <w:rPr>
          <w:rFonts w:ascii="Arial" w:hAnsi="Arial" w:cs="Arial"/>
          <w:iCs/>
        </w:rPr>
      </w:pPr>
    </w:p>
    <w:p w14:paraId="3316ACEA" w14:textId="7CBEAC26" w:rsidR="00BC7696" w:rsidRPr="00CE3CAD" w:rsidRDefault="00BC7696" w:rsidP="00DE0F46">
      <w:pPr>
        <w:pStyle w:val="Heading2"/>
        <w:rPr>
          <w:rFonts w:ascii="Arial" w:hAnsi="Arial" w:cs="Arial"/>
          <w:b/>
          <w:bCs/>
          <w:color w:val="FF0000"/>
        </w:rPr>
      </w:pPr>
      <w:r w:rsidRPr="00CE3CAD">
        <w:rPr>
          <w:rFonts w:ascii="Arial" w:hAnsi="Arial" w:cs="Arial"/>
          <w:b/>
          <w:bCs/>
          <w:color w:val="4F81BD" w:themeColor="accent1"/>
          <w:sz w:val="28"/>
          <w:szCs w:val="28"/>
        </w:rPr>
        <w:t xml:space="preserve">10.0  </w:t>
      </w:r>
      <w:bookmarkStart w:id="24" w:name="_Toc1121320"/>
      <w:r w:rsidR="002531BE" w:rsidRPr="00CE3CAD">
        <w:rPr>
          <w:rFonts w:ascii="Arial" w:hAnsi="Arial" w:cs="Arial"/>
          <w:b/>
          <w:bCs/>
          <w:color w:val="4F81BD" w:themeColor="accent1"/>
          <w:sz w:val="28"/>
          <w:szCs w:val="28"/>
        </w:rPr>
        <w:t xml:space="preserve"> </w:t>
      </w:r>
      <w:proofErr w:type="gramStart"/>
      <w:r w:rsidRPr="00CE3CAD">
        <w:rPr>
          <w:rFonts w:ascii="Arial" w:hAnsi="Arial" w:cs="Arial"/>
          <w:b/>
          <w:bCs/>
          <w:color w:val="4F81BD" w:themeColor="accent1"/>
          <w:sz w:val="28"/>
          <w:szCs w:val="28"/>
        </w:rPr>
        <w:t xml:space="preserve">EQUALITY </w:t>
      </w:r>
      <w:r w:rsidR="009321AF" w:rsidRPr="00CE3CAD">
        <w:rPr>
          <w:rFonts w:ascii="Arial" w:hAnsi="Arial" w:cs="Arial"/>
          <w:b/>
          <w:bCs/>
          <w:color w:val="4F81BD" w:themeColor="accent1"/>
          <w:sz w:val="28"/>
          <w:szCs w:val="28"/>
        </w:rPr>
        <w:t xml:space="preserve"> and</w:t>
      </w:r>
      <w:proofErr w:type="gramEnd"/>
      <w:r w:rsidR="009321AF" w:rsidRPr="00CE3CAD">
        <w:rPr>
          <w:rFonts w:ascii="Arial" w:hAnsi="Arial" w:cs="Arial"/>
          <w:b/>
          <w:bCs/>
          <w:color w:val="4F81BD" w:themeColor="accent1"/>
          <w:sz w:val="28"/>
          <w:szCs w:val="28"/>
        </w:rPr>
        <w:t xml:space="preserve"> DIVERSITY </w:t>
      </w:r>
      <w:r w:rsidRPr="00CE3CAD">
        <w:rPr>
          <w:rFonts w:ascii="Arial" w:hAnsi="Arial" w:cs="Arial"/>
          <w:b/>
          <w:bCs/>
          <w:color w:val="4F81BD" w:themeColor="accent1"/>
          <w:sz w:val="28"/>
          <w:szCs w:val="28"/>
        </w:rPr>
        <w:t>STATEMENT</w:t>
      </w:r>
      <w:bookmarkEnd w:id="24"/>
    </w:p>
    <w:p w14:paraId="07F45AB6" w14:textId="453E743D" w:rsidR="00BC7696" w:rsidRPr="00CE3CAD" w:rsidRDefault="00677F36" w:rsidP="00BC7696">
      <w:pPr>
        <w:spacing w:after="120"/>
        <w:jc w:val="both"/>
        <w:rPr>
          <w:rFonts w:ascii="Arial" w:hAnsi="Arial" w:cs="Arial"/>
        </w:rPr>
      </w:pPr>
      <w:r w:rsidRPr="001D1A82">
        <w:rPr>
          <w:rFonts w:ascii="Arial" w:hAnsi="Arial" w:cs="Arial"/>
        </w:rPr>
        <w:t>Integrated Care Board</w:t>
      </w:r>
      <w:r w:rsidR="00BC7696" w:rsidRPr="001D1A82">
        <w:rPr>
          <w:rFonts w:ascii="Arial" w:hAnsi="Arial" w:cs="Arial"/>
        </w:rPr>
        <w:t xml:space="preserve"> (</w:t>
      </w:r>
      <w:r w:rsidR="00E271F0" w:rsidRPr="001D1A82">
        <w:rPr>
          <w:rFonts w:ascii="Arial" w:hAnsi="Arial" w:cs="Arial"/>
        </w:rPr>
        <w:t>ICB</w:t>
      </w:r>
      <w:r w:rsidR="00BC7696" w:rsidRPr="001D1A82">
        <w:rPr>
          <w:rFonts w:ascii="Arial" w:hAnsi="Arial" w:cs="Arial"/>
        </w:rPr>
        <w:t>)</w:t>
      </w:r>
      <w:r w:rsidR="00BC7696" w:rsidRPr="00CE3CAD">
        <w:rPr>
          <w:rFonts w:ascii="Arial" w:hAnsi="Arial" w:cs="Arial"/>
        </w:rPr>
        <w:t xml:space="preserve"> within Lincolnshire have collaboratively worked with Lincolnshire County Council and aims to design and implement this policy document that meet the diverse needs of our services, population and workforce, ensuring that none are placed at a disadvantage over others. It </w:t>
      </w:r>
      <w:proofErr w:type="gramStart"/>
      <w:r w:rsidR="00BC7696" w:rsidRPr="00CE3CAD">
        <w:rPr>
          <w:rFonts w:ascii="Arial" w:hAnsi="Arial" w:cs="Arial"/>
        </w:rPr>
        <w:t>takes into account</w:t>
      </w:r>
      <w:proofErr w:type="gramEnd"/>
      <w:r w:rsidR="00BC7696" w:rsidRPr="00CE3CAD">
        <w:rPr>
          <w:rFonts w:ascii="Arial" w:hAnsi="Arial" w:cs="Arial"/>
        </w:rPr>
        <w:t xml:space="preserve"> current UK legislative requirements, including the Equality Act 2010 and the Human Rights Act 1998, and promotes equal opportunities for all. This document has been designed to ensure that no-one receives less favourable treatment due to their personal circumstances </w:t>
      </w:r>
      <w:proofErr w:type="gramStart"/>
      <w:r w:rsidR="00BC7696" w:rsidRPr="00CE3CAD">
        <w:rPr>
          <w:rFonts w:ascii="Arial" w:hAnsi="Arial" w:cs="Arial"/>
        </w:rPr>
        <w:t>i.e.</w:t>
      </w:r>
      <w:proofErr w:type="gramEnd"/>
      <w:r w:rsidR="00BC7696" w:rsidRPr="00CE3CAD">
        <w:rPr>
          <w:rFonts w:ascii="Arial" w:hAnsi="Arial" w:cs="Arial"/>
        </w:rPr>
        <w:t xml:space="preserve"> the protected characteristics of their age, disability, sex (gender), gender reassignment, sexual orientation, marriage and civil partnership, race, religion or belief, pregnancy and maternity. Appropriate consideration has also been given to gender identity, socio-economic status, immigration status and the principles of the Human Rights Act.</w:t>
      </w:r>
    </w:p>
    <w:p w14:paraId="4448B974" w14:textId="18051BCC" w:rsidR="00BC7696" w:rsidRPr="00CE3CAD" w:rsidRDefault="00BC7696" w:rsidP="00BC7696">
      <w:pPr>
        <w:spacing w:after="120"/>
        <w:jc w:val="both"/>
        <w:rPr>
          <w:rFonts w:ascii="Arial" w:hAnsi="Arial" w:cs="Arial"/>
        </w:rPr>
      </w:pPr>
      <w:r w:rsidRPr="00CE3CAD">
        <w:rPr>
          <w:rFonts w:ascii="Arial" w:hAnsi="Arial" w:cs="Arial"/>
        </w:rPr>
        <w:t xml:space="preserve">In carrying out its functions, </w:t>
      </w:r>
      <w:r w:rsidR="00E271F0">
        <w:rPr>
          <w:rFonts w:ascii="Arial" w:hAnsi="Arial" w:cs="Arial"/>
        </w:rPr>
        <w:t>ICB</w:t>
      </w:r>
      <w:r w:rsidRPr="00CE3CAD">
        <w:rPr>
          <w:rFonts w:ascii="Arial" w:hAnsi="Arial" w:cs="Arial"/>
        </w:rPr>
        <w:t xml:space="preserve">s are committed to having due regard to the Public Sector Equality Duty. This applies to all the activities for which </w:t>
      </w:r>
      <w:r w:rsidR="00E271F0">
        <w:rPr>
          <w:rFonts w:ascii="Arial" w:hAnsi="Arial" w:cs="Arial"/>
        </w:rPr>
        <w:t>ICB</w:t>
      </w:r>
      <w:r w:rsidRPr="00CE3CAD">
        <w:rPr>
          <w:rFonts w:ascii="Arial" w:hAnsi="Arial" w:cs="Arial"/>
        </w:rPr>
        <w:t>s are responsible, whether internal or on behalf of partners, including policy development, review and implementation.</w:t>
      </w:r>
    </w:p>
    <w:p w14:paraId="34FF7FF7" w14:textId="77777777" w:rsidR="00BC7696" w:rsidRPr="00CE3CAD" w:rsidRDefault="00BC7696" w:rsidP="00BC7696">
      <w:pPr>
        <w:pStyle w:val="NoSpacing"/>
        <w:spacing w:after="120"/>
        <w:contextualSpacing/>
        <w:jc w:val="both"/>
        <w:rPr>
          <w:rFonts w:ascii="Arial" w:hAnsi="Arial" w:cs="Arial"/>
          <w:b/>
          <w:color w:val="0070C0"/>
        </w:rPr>
        <w:sectPr w:rsidR="00BC7696" w:rsidRPr="00CE3CAD" w:rsidSect="00BD1DC5">
          <w:footerReference w:type="default" r:id="rId12"/>
          <w:pgSz w:w="11900" w:h="16840"/>
          <w:pgMar w:top="964" w:right="985" w:bottom="1440" w:left="1440" w:header="284" w:footer="487" w:gutter="0"/>
          <w:cols w:space="720"/>
        </w:sectPr>
      </w:pPr>
    </w:p>
    <w:p w14:paraId="5FC2C109" w14:textId="40AA5BB5" w:rsidR="002531BE" w:rsidRPr="00CE3CAD" w:rsidRDefault="002531BE" w:rsidP="00BC7696">
      <w:pPr>
        <w:pStyle w:val="Heading2"/>
        <w:rPr>
          <w:rFonts w:ascii="Arial" w:hAnsi="Arial" w:cs="Arial"/>
          <w:b/>
          <w:bCs/>
          <w:color w:val="4F81BD" w:themeColor="accent1"/>
          <w:sz w:val="28"/>
          <w:szCs w:val="28"/>
        </w:rPr>
      </w:pPr>
      <w:bookmarkStart w:id="25" w:name="_Toc1121321"/>
      <w:r w:rsidRPr="00CE3CAD">
        <w:rPr>
          <w:rFonts w:ascii="Arial" w:hAnsi="Arial" w:cs="Arial"/>
          <w:b/>
          <w:bCs/>
          <w:color w:val="4F81BD" w:themeColor="accent1"/>
          <w:sz w:val="28"/>
          <w:szCs w:val="28"/>
        </w:rPr>
        <w:lastRenderedPageBreak/>
        <w:t>11.0    REFERENCES</w:t>
      </w:r>
    </w:p>
    <w:p w14:paraId="628D139B" w14:textId="450D6B6D" w:rsidR="008A3AAE" w:rsidRPr="00CE3CAD" w:rsidRDefault="008A3AAE" w:rsidP="008A3AAE">
      <w:pPr>
        <w:rPr>
          <w:rFonts w:ascii="Arial" w:hAnsi="Arial" w:cs="Arial"/>
        </w:rPr>
      </w:pPr>
    </w:p>
    <w:p w14:paraId="2EDF07EB" w14:textId="15121BA5" w:rsidR="00E40F55" w:rsidRPr="00CE3CAD" w:rsidRDefault="00E40F55" w:rsidP="008A3AAE">
      <w:pPr>
        <w:rPr>
          <w:rFonts w:ascii="Arial" w:hAnsi="Arial" w:cs="Arial"/>
          <w:sz w:val="24"/>
          <w:szCs w:val="24"/>
        </w:rPr>
      </w:pPr>
      <w:r w:rsidRPr="00CE3CAD">
        <w:rPr>
          <w:rFonts w:ascii="Arial" w:hAnsi="Arial" w:cs="Arial"/>
          <w:sz w:val="24"/>
          <w:szCs w:val="24"/>
        </w:rPr>
        <w:t xml:space="preserve">Department of Health and Social Care (2016). </w:t>
      </w:r>
      <w:r w:rsidRPr="00CE3CAD">
        <w:rPr>
          <w:rFonts w:ascii="Arial" w:hAnsi="Arial" w:cs="Arial"/>
          <w:i/>
          <w:iCs/>
          <w:sz w:val="24"/>
          <w:szCs w:val="24"/>
        </w:rPr>
        <w:t xml:space="preserve">Care and support statutory guidance. </w:t>
      </w:r>
      <w:r w:rsidRPr="00CE3CAD">
        <w:rPr>
          <w:rFonts w:ascii="Arial" w:hAnsi="Arial" w:cs="Arial"/>
          <w:sz w:val="24"/>
          <w:szCs w:val="24"/>
        </w:rPr>
        <w:t>(online) GOV.UK. Available at:</w:t>
      </w:r>
    </w:p>
    <w:p w14:paraId="72BB507F" w14:textId="567B6649" w:rsidR="00E40F55" w:rsidRPr="00CE3CAD" w:rsidRDefault="00B37840" w:rsidP="008A3AAE">
      <w:pPr>
        <w:rPr>
          <w:rFonts w:ascii="Arial" w:hAnsi="Arial" w:cs="Arial"/>
          <w:sz w:val="24"/>
          <w:szCs w:val="24"/>
        </w:rPr>
      </w:pPr>
      <w:hyperlink r:id="rId13" w:history="1">
        <w:r w:rsidR="00E40F55" w:rsidRPr="00CE3CAD">
          <w:rPr>
            <w:rStyle w:val="Hyperlink"/>
            <w:rFonts w:ascii="Arial" w:hAnsi="Arial" w:cs="Arial"/>
            <w:sz w:val="24"/>
            <w:szCs w:val="24"/>
          </w:rPr>
          <w:t>https://www.gov.uk/government/publications/care-act-statutory-guidance/care-and-support-statutory-guidance</w:t>
        </w:r>
      </w:hyperlink>
      <w:r w:rsidR="00E40F55" w:rsidRPr="00CE3CAD">
        <w:rPr>
          <w:rFonts w:ascii="Arial" w:hAnsi="Arial" w:cs="Arial"/>
          <w:sz w:val="24"/>
          <w:szCs w:val="24"/>
        </w:rPr>
        <w:t xml:space="preserve">. </w:t>
      </w:r>
    </w:p>
    <w:p w14:paraId="5EA182EF" w14:textId="2E491778" w:rsidR="004813C9" w:rsidRPr="00CE3CAD" w:rsidRDefault="004813C9" w:rsidP="008A3AAE">
      <w:pPr>
        <w:rPr>
          <w:rFonts w:ascii="Arial" w:hAnsi="Arial" w:cs="Arial"/>
          <w:sz w:val="24"/>
          <w:szCs w:val="24"/>
        </w:rPr>
      </w:pPr>
      <w:r w:rsidRPr="00CE3CAD">
        <w:rPr>
          <w:rFonts w:ascii="Arial" w:hAnsi="Arial" w:cs="Arial"/>
          <w:sz w:val="24"/>
          <w:szCs w:val="24"/>
        </w:rPr>
        <w:t xml:space="preserve">GOV.UK (2014). </w:t>
      </w:r>
      <w:r w:rsidRPr="00CE3CAD">
        <w:rPr>
          <w:rFonts w:ascii="Arial" w:hAnsi="Arial" w:cs="Arial"/>
          <w:i/>
          <w:iCs/>
          <w:sz w:val="24"/>
          <w:szCs w:val="24"/>
        </w:rPr>
        <w:t xml:space="preserve">Care Act 2014. </w:t>
      </w:r>
      <w:r w:rsidRPr="00CE3CAD">
        <w:rPr>
          <w:rFonts w:ascii="Arial" w:hAnsi="Arial" w:cs="Arial"/>
          <w:sz w:val="24"/>
          <w:szCs w:val="24"/>
        </w:rPr>
        <w:t>(online) Legislation.gov.uk Available at:</w:t>
      </w:r>
    </w:p>
    <w:p w14:paraId="45162C89" w14:textId="38872321" w:rsidR="004813C9" w:rsidRPr="00CE3CAD" w:rsidRDefault="00B37840" w:rsidP="008A3AAE">
      <w:pPr>
        <w:rPr>
          <w:rFonts w:ascii="Arial" w:hAnsi="Arial" w:cs="Arial"/>
          <w:sz w:val="24"/>
          <w:szCs w:val="24"/>
        </w:rPr>
      </w:pPr>
      <w:hyperlink r:id="rId14" w:history="1">
        <w:r w:rsidR="00E40F55" w:rsidRPr="00CE3CAD">
          <w:rPr>
            <w:rStyle w:val="Hyperlink"/>
            <w:rFonts w:ascii="Arial" w:hAnsi="Arial" w:cs="Arial"/>
            <w:sz w:val="24"/>
            <w:szCs w:val="24"/>
          </w:rPr>
          <w:t>https://www.legislation.gov.uk/ukpga/2014/23/contents/enacted</w:t>
        </w:r>
      </w:hyperlink>
      <w:r w:rsidR="00E40F55" w:rsidRPr="00CE3CAD">
        <w:rPr>
          <w:rFonts w:ascii="Arial" w:hAnsi="Arial" w:cs="Arial"/>
          <w:sz w:val="24"/>
          <w:szCs w:val="24"/>
        </w:rPr>
        <w:t xml:space="preserve">. </w:t>
      </w:r>
    </w:p>
    <w:p w14:paraId="02A50EAD" w14:textId="434C9B6E" w:rsidR="002531BE" w:rsidRPr="00CE3CAD" w:rsidRDefault="008A3AAE" w:rsidP="00BC7696">
      <w:pPr>
        <w:pStyle w:val="Heading2"/>
        <w:rPr>
          <w:rFonts w:ascii="Arial" w:hAnsi="Arial" w:cs="Arial"/>
          <w:color w:val="auto"/>
          <w:sz w:val="24"/>
          <w:szCs w:val="24"/>
        </w:rPr>
      </w:pPr>
      <w:r w:rsidRPr="00CE3CAD">
        <w:rPr>
          <w:rFonts w:ascii="Arial" w:hAnsi="Arial" w:cs="Arial"/>
          <w:color w:val="auto"/>
          <w:sz w:val="24"/>
          <w:szCs w:val="24"/>
        </w:rPr>
        <w:t>Incorporating the NHS Continuing Healthcare Practice Guidance. (2018). (online) Available at:</w:t>
      </w:r>
    </w:p>
    <w:p w14:paraId="6CF3AFAA" w14:textId="07589041" w:rsidR="008A3AAE" w:rsidRPr="00CE3CAD" w:rsidRDefault="00B37840" w:rsidP="008A3AAE">
      <w:pPr>
        <w:rPr>
          <w:rFonts w:ascii="Arial" w:hAnsi="Arial" w:cs="Arial"/>
        </w:rPr>
      </w:pPr>
      <w:hyperlink r:id="rId15" w:history="1">
        <w:r w:rsidR="008A3AAE" w:rsidRPr="00CE3CAD">
          <w:rPr>
            <w:rStyle w:val="Hyperlink"/>
            <w:rFonts w:ascii="Arial" w:hAnsi="Arial" w:cs="Arial"/>
          </w:rPr>
          <w:t>https://assets.publishing.service.go.uk/government/uploads/system/uploads/attachement_data/file/746063/20181001_National_Framework_for_CHC_and_FNC_October_2018_Revised.pdf</w:t>
        </w:r>
      </w:hyperlink>
      <w:r w:rsidR="008A3AAE" w:rsidRPr="00CE3CAD">
        <w:rPr>
          <w:rFonts w:ascii="Arial" w:hAnsi="Arial" w:cs="Arial"/>
        </w:rPr>
        <w:t xml:space="preserve">. </w:t>
      </w:r>
    </w:p>
    <w:p w14:paraId="6BA2CD73" w14:textId="22A85AD7" w:rsidR="008A3AAE" w:rsidRPr="00CE3CAD" w:rsidRDefault="008A3AAE" w:rsidP="008A3AAE">
      <w:pPr>
        <w:rPr>
          <w:rFonts w:ascii="Arial" w:hAnsi="Arial" w:cs="Arial"/>
          <w:sz w:val="24"/>
          <w:szCs w:val="24"/>
        </w:rPr>
      </w:pPr>
      <w:r w:rsidRPr="00CE3CAD">
        <w:rPr>
          <w:rFonts w:ascii="Arial" w:hAnsi="Arial" w:cs="Arial"/>
          <w:sz w:val="24"/>
          <w:szCs w:val="24"/>
        </w:rPr>
        <w:t xml:space="preserve">The National Health Service Commissioning Board and Clinical </w:t>
      </w:r>
      <w:r w:rsidR="004813C9" w:rsidRPr="00CE3CAD">
        <w:rPr>
          <w:rFonts w:ascii="Arial" w:hAnsi="Arial" w:cs="Arial"/>
          <w:sz w:val="24"/>
          <w:szCs w:val="24"/>
        </w:rPr>
        <w:t>Commissioning</w:t>
      </w:r>
      <w:r w:rsidRPr="00CE3CAD">
        <w:rPr>
          <w:rFonts w:ascii="Arial" w:hAnsi="Arial" w:cs="Arial"/>
          <w:sz w:val="24"/>
          <w:szCs w:val="24"/>
        </w:rPr>
        <w:t xml:space="preserve"> Gr</w:t>
      </w:r>
      <w:r w:rsidR="004813C9" w:rsidRPr="00CE3CAD">
        <w:rPr>
          <w:rFonts w:ascii="Arial" w:hAnsi="Arial" w:cs="Arial"/>
          <w:sz w:val="24"/>
          <w:szCs w:val="24"/>
        </w:rPr>
        <w:t>oups (Responsibilities and Standing Rules) Regulations 2012. (2012). Available at:</w:t>
      </w:r>
    </w:p>
    <w:p w14:paraId="2FB1AE11" w14:textId="6AD98E2F" w:rsidR="004813C9" w:rsidRPr="00CE3CAD" w:rsidRDefault="00B37840" w:rsidP="008A3AAE">
      <w:pPr>
        <w:rPr>
          <w:rFonts w:ascii="Arial" w:hAnsi="Arial" w:cs="Arial"/>
        </w:rPr>
      </w:pPr>
      <w:hyperlink r:id="rId16" w:history="1">
        <w:r w:rsidR="004813C9" w:rsidRPr="00CE3CAD">
          <w:rPr>
            <w:rStyle w:val="Hyperlink"/>
            <w:rFonts w:ascii="Arial" w:hAnsi="Arial" w:cs="Arial"/>
          </w:rPr>
          <w:t>https://www.nhs.uk/choiceintheNHS/Rightsandpledges/Waitingtimes/Documents/nhs-england-and-</w:t>
        </w:r>
        <w:r w:rsidR="00E271F0">
          <w:rPr>
            <w:rStyle w:val="Hyperlink"/>
            <w:rFonts w:ascii="Arial" w:hAnsi="Arial" w:cs="Arial"/>
          </w:rPr>
          <w:t>ICB</w:t>
        </w:r>
        <w:r w:rsidR="004813C9" w:rsidRPr="00CE3CAD">
          <w:rPr>
            <w:rStyle w:val="Hyperlink"/>
            <w:rFonts w:ascii="Arial" w:hAnsi="Arial" w:cs="Arial"/>
          </w:rPr>
          <w:t>-regulations.pdf</w:t>
        </w:r>
      </w:hyperlink>
      <w:r w:rsidR="004813C9" w:rsidRPr="00CE3CAD">
        <w:rPr>
          <w:rFonts w:ascii="Arial" w:hAnsi="Arial" w:cs="Arial"/>
        </w:rPr>
        <w:t xml:space="preserve">. </w:t>
      </w:r>
    </w:p>
    <w:p w14:paraId="13093443" w14:textId="2A73AF39" w:rsidR="002531BE" w:rsidRPr="00CE3CAD" w:rsidRDefault="00DC5925" w:rsidP="00BC7696">
      <w:pPr>
        <w:pStyle w:val="Heading2"/>
        <w:rPr>
          <w:rFonts w:ascii="Arial" w:hAnsi="Arial" w:cs="Arial"/>
          <w:color w:val="auto"/>
          <w:sz w:val="24"/>
          <w:szCs w:val="24"/>
        </w:rPr>
      </w:pPr>
      <w:r w:rsidRPr="00CE3CAD">
        <w:rPr>
          <w:rFonts w:ascii="Arial" w:hAnsi="Arial" w:cs="Arial"/>
          <w:color w:val="auto"/>
          <w:sz w:val="24"/>
          <w:szCs w:val="24"/>
        </w:rPr>
        <w:t>www.england.nhs.uk. (</w:t>
      </w:r>
      <w:proofErr w:type="spellStart"/>
      <w:r w:rsidRPr="00CE3CAD">
        <w:rPr>
          <w:rFonts w:ascii="Arial" w:hAnsi="Arial" w:cs="Arial"/>
          <w:color w:val="auto"/>
          <w:sz w:val="24"/>
          <w:szCs w:val="24"/>
        </w:rPr>
        <w:t>n.d</w:t>
      </w:r>
      <w:proofErr w:type="spellEnd"/>
      <w:r w:rsidRPr="00CE3CAD">
        <w:rPr>
          <w:rFonts w:ascii="Arial" w:hAnsi="Arial" w:cs="Arial"/>
          <w:color w:val="auto"/>
          <w:sz w:val="24"/>
          <w:szCs w:val="24"/>
        </w:rPr>
        <w:t>). NHS England&gt;&gt;Who Pays? (0nline) Available at:</w:t>
      </w:r>
    </w:p>
    <w:p w14:paraId="3315F261" w14:textId="053A915C" w:rsidR="00DC5925" w:rsidRPr="00CE3CAD" w:rsidRDefault="00B37840" w:rsidP="00DC5925">
      <w:pPr>
        <w:rPr>
          <w:rFonts w:ascii="Arial" w:hAnsi="Arial" w:cs="Arial"/>
        </w:rPr>
      </w:pPr>
      <w:hyperlink r:id="rId17" w:history="1">
        <w:r w:rsidR="00DC5925" w:rsidRPr="00CE3CAD">
          <w:rPr>
            <w:rStyle w:val="Hyperlink"/>
            <w:rFonts w:ascii="Arial" w:hAnsi="Arial" w:cs="Arial"/>
          </w:rPr>
          <w:t>https://www.england.nhs.uk/who-pays/</w:t>
        </w:r>
      </w:hyperlink>
      <w:r w:rsidR="00DC5925" w:rsidRPr="00CE3CAD">
        <w:rPr>
          <w:rFonts w:ascii="Arial" w:hAnsi="Arial" w:cs="Arial"/>
        </w:rPr>
        <w:t xml:space="preserve"> </w:t>
      </w:r>
    </w:p>
    <w:p w14:paraId="1856174B" w14:textId="39C8479A" w:rsidR="00E40F55" w:rsidRPr="00CE3CAD" w:rsidRDefault="00E40F55" w:rsidP="00E40F55">
      <w:pPr>
        <w:rPr>
          <w:rFonts w:ascii="Arial" w:hAnsi="Arial" w:cs="Arial"/>
        </w:rPr>
      </w:pPr>
    </w:p>
    <w:p w14:paraId="536FB0FE" w14:textId="7EE5D623" w:rsidR="00E40F55" w:rsidRPr="00CE3CAD" w:rsidRDefault="00E40F55" w:rsidP="00E40F55">
      <w:pPr>
        <w:rPr>
          <w:rFonts w:ascii="Arial" w:hAnsi="Arial" w:cs="Arial"/>
        </w:rPr>
      </w:pPr>
    </w:p>
    <w:p w14:paraId="5255030F" w14:textId="22634A84" w:rsidR="00E40F55" w:rsidRPr="00CE3CAD" w:rsidRDefault="00E40F55" w:rsidP="00E40F55">
      <w:pPr>
        <w:rPr>
          <w:rFonts w:ascii="Arial" w:hAnsi="Arial" w:cs="Arial"/>
        </w:rPr>
      </w:pPr>
    </w:p>
    <w:p w14:paraId="562E6B4A" w14:textId="4DD6DEB5" w:rsidR="00E40F55" w:rsidRPr="00CE3CAD" w:rsidRDefault="00E40F55" w:rsidP="00E40F55">
      <w:pPr>
        <w:rPr>
          <w:rFonts w:ascii="Arial" w:hAnsi="Arial" w:cs="Arial"/>
        </w:rPr>
      </w:pPr>
    </w:p>
    <w:p w14:paraId="472AA403" w14:textId="49E2F443" w:rsidR="00E40F55" w:rsidRPr="00CE3CAD" w:rsidRDefault="00E40F55" w:rsidP="00E40F55">
      <w:pPr>
        <w:rPr>
          <w:rFonts w:ascii="Arial" w:hAnsi="Arial" w:cs="Arial"/>
        </w:rPr>
      </w:pPr>
    </w:p>
    <w:p w14:paraId="22C17AC5" w14:textId="738F9587" w:rsidR="00E40F55" w:rsidRPr="00CE3CAD" w:rsidRDefault="00E40F55" w:rsidP="00E40F55">
      <w:pPr>
        <w:rPr>
          <w:rFonts w:ascii="Arial" w:hAnsi="Arial" w:cs="Arial"/>
        </w:rPr>
      </w:pPr>
    </w:p>
    <w:p w14:paraId="6668648F" w14:textId="4DE6C05A" w:rsidR="00E40F55" w:rsidRPr="00CE3CAD" w:rsidRDefault="00E40F55" w:rsidP="00E40F55">
      <w:pPr>
        <w:rPr>
          <w:rFonts w:ascii="Arial" w:hAnsi="Arial" w:cs="Arial"/>
        </w:rPr>
      </w:pPr>
    </w:p>
    <w:p w14:paraId="286E26F2" w14:textId="24D8DB1F" w:rsidR="00E40F55" w:rsidRPr="00CE3CAD" w:rsidRDefault="00E40F55" w:rsidP="00E40F55">
      <w:pPr>
        <w:rPr>
          <w:rFonts w:ascii="Arial" w:hAnsi="Arial" w:cs="Arial"/>
        </w:rPr>
      </w:pPr>
    </w:p>
    <w:p w14:paraId="2E5AF97F" w14:textId="732250AE" w:rsidR="00E40F55" w:rsidRPr="00CE3CAD" w:rsidRDefault="00E40F55" w:rsidP="00E40F55">
      <w:pPr>
        <w:rPr>
          <w:rFonts w:ascii="Arial" w:hAnsi="Arial" w:cs="Arial"/>
        </w:rPr>
      </w:pPr>
    </w:p>
    <w:p w14:paraId="067E115C" w14:textId="2D6CAA80" w:rsidR="00E40F55" w:rsidRPr="00CE3CAD" w:rsidRDefault="00E40F55" w:rsidP="00E40F55">
      <w:pPr>
        <w:rPr>
          <w:rFonts w:ascii="Arial" w:hAnsi="Arial" w:cs="Arial"/>
        </w:rPr>
      </w:pPr>
    </w:p>
    <w:p w14:paraId="3CD5AD31" w14:textId="6C620F95" w:rsidR="00E40F55" w:rsidRPr="00CE3CAD" w:rsidRDefault="00E40F55" w:rsidP="00E40F55">
      <w:pPr>
        <w:rPr>
          <w:rFonts w:ascii="Arial" w:hAnsi="Arial" w:cs="Arial"/>
        </w:rPr>
      </w:pPr>
    </w:p>
    <w:p w14:paraId="08FCBEB8" w14:textId="77777777" w:rsidR="00E40F55" w:rsidRPr="00CE3CAD" w:rsidRDefault="00E40F55" w:rsidP="00E40F55">
      <w:pPr>
        <w:rPr>
          <w:rFonts w:ascii="Arial" w:hAnsi="Arial" w:cs="Arial"/>
        </w:rPr>
      </w:pPr>
    </w:p>
    <w:p w14:paraId="48DD04FD" w14:textId="359C4F87" w:rsidR="00BC7696" w:rsidRPr="00CE3CAD" w:rsidRDefault="00E40F55" w:rsidP="00BC7696">
      <w:pPr>
        <w:pStyle w:val="Heading2"/>
        <w:rPr>
          <w:rFonts w:ascii="Arial" w:hAnsi="Arial" w:cs="Arial"/>
          <w:b/>
          <w:bCs/>
          <w:color w:val="4F81BD" w:themeColor="accent1"/>
        </w:rPr>
      </w:pPr>
      <w:r w:rsidRPr="00CE3CAD">
        <w:rPr>
          <w:rFonts w:ascii="Arial" w:hAnsi="Arial" w:cs="Arial"/>
          <w:b/>
          <w:bCs/>
          <w:color w:val="4F81BD" w:themeColor="accent1"/>
          <w:sz w:val="28"/>
          <w:szCs w:val="28"/>
        </w:rPr>
        <w:lastRenderedPageBreak/>
        <w:t xml:space="preserve">12.0 </w:t>
      </w:r>
      <w:bookmarkEnd w:id="25"/>
      <w:r w:rsidRPr="00CE3CAD">
        <w:rPr>
          <w:rFonts w:ascii="Arial" w:hAnsi="Arial" w:cs="Arial"/>
          <w:b/>
          <w:bCs/>
          <w:color w:val="4F81BD" w:themeColor="accent1"/>
          <w:sz w:val="28"/>
          <w:szCs w:val="28"/>
        </w:rPr>
        <w:t xml:space="preserve">   </w:t>
      </w:r>
      <w:r w:rsidRPr="00CE3CAD">
        <w:rPr>
          <w:rFonts w:ascii="Arial" w:hAnsi="Arial" w:cs="Arial"/>
          <w:b/>
          <w:bCs/>
          <w:color w:val="4F81BD" w:themeColor="accent1"/>
        </w:rPr>
        <w:t>GLOSSARY OF TERMS</w:t>
      </w:r>
    </w:p>
    <w:p w14:paraId="62154B14" w14:textId="77777777" w:rsidR="00BC7696" w:rsidRPr="00CE3CAD" w:rsidRDefault="00BC7696" w:rsidP="00BC7696">
      <w:pPr>
        <w:rPr>
          <w:rFonts w:ascii="Arial" w:hAnsi="Arial" w:cs="Arial"/>
        </w:rPr>
      </w:pPr>
    </w:p>
    <w:tbl>
      <w:tblPr>
        <w:tblStyle w:val="TableGrid"/>
        <w:tblW w:w="0" w:type="auto"/>
        <w:tblLook w:val="04A0" w:firstRow="1" w:lastRow="0" w:firstColumn="1" w:lastColumn="0" w:noHBand="0" w:noVBand="1"/>
      </w:tblPr>
      <w:tblGrid>
        <w:gridCol w:w="1921"/>
        <w:gridCol w:w="7095"/>
      </w:tblGrid>
      <w:tr w:rsidR="00BC7696" w:rsidRPr="00CE3CAD" w14:paraId="1A4E26AB" w14:textId="77777777" w:rsidTr="007A1A3C">
        <w:tc>
          <w:tcPr>
            <w:tcW w:w="1950" w:type="dxa"/>
          </w:tcPr>
          <w:p w14:paraId="65EE310E" w14:textId="77777777" w:rsidR="00BC7696" w:rsidRPr="00CE3CAD" w:rsidRDefault="00BC7696" w:rsidP="007A1A3C">
            <w:pPr>
              <w:pStyle w:val="NoSpacing"/>
              <w:rPr>
                <w:rFonts w:ascii="Arial" w:hAnsi="Arial" w:cs="Arial"/>
                <w:b/>
              </w:rPr>
            </w:pPr>
            <w:r w:rsidRPr="00CE3CAD">
              <w:rPr>
                <w:rFonts w:ascii="Arial" w:hAnsi="Arial" w:cs="Arial"/>
                <w:b/>
              </w:rPr>
              <w:t>ASC</w:t>
            </w:r>
          </w:p>
        </w:tc>
        <w:tc>
          <w:tcPr>
            <w:tcW w:w="7514" w:type="dxa"/>
          </w:tcPr>
          <w:p w14:paraId="7DDCCA69" w14:textId="77777777" w:rsidR="00BC7696" w:rsidRPr="00CE3CAD" w:rsidRDefault="00BC7696" w:rsidP="007A1A3C">
            <w:pPr>
              <w:pStyle w:val="NoSpacing"/>
              <w:rPr>
                <w:rFonts w:ascii="Arial" w:hAnsi="Arial" w:cs="Arial"/>
              </w:rPr>
            </w:pPr>
            <w:r w:rsidRPr="00CE3CAD">
              <w:rPr>
                <w:rFonts w:ascii="Arial" w:hAnsi="Arial" w:cs="Arial"/>
              </w:rPr>
              <w:t>Adult Social Care</w:t>
            </w:r>
          </w:p>
        </w:tc>
      </w:tr>
      <w:tr w:rsidR="00BC7696" w:rsidRPr="00CE3CAD" w14:paraId="3E46E6B9" w14:textId="77777777" w:rsidTr="007A1A3C">
        <w:tc>
          <w:tcPr>
            <w:tcW w:w="1950" w:type="dxa"/>
          </w:tcPr>
          <w:p w14:paraId="432E1FCC" w14:textId="77777777" w:rsidR="00BC7696" w:rsidRPr="00CE3CAD" w:rsidRDefault="00BC7696" w:rsidP="007A1A3C">
            <w:pPr>
              <w:pStyle w:val="NoSpacing"/>
              <w:rPr>
                <w:rFonts w:ascii="Arial" w:hAnsi="Arial" w:cs="Arial"/>
                <w:b/>
              </w:rPr>
            </w:pPr>
            <w:r w:rsidRPr="00CE3CAD">
              <w:rPr>
                <w:rFonts w:ascii="Arial" w:hAnsi="Arial" w:cs="Arial"/>
                <w:b/>
              </w:rPr>
              <w:t>CHC</w:t>
            </w:r>
          </w:p>
        </w:tc>
        <w:tc>
          <w:tcPr>
            <w:tcW w:w="7514" w:type="dxa"/>
          </w:tcPr>
          <w:p w14:paraId="5B86BF5B" w14:textId="77777777" w:rsidR="00BC7696" w:rsidRPr="00CE3CAD" w:rsidRDefault="00BC7696" w:rsidP="007A1A3C">
            <w:pPr>
              <w:pStyle w:val="NoSpacing"/>
              <w:rPr>
                <w:rFonts w:ascii="Arial" w:hAnsi="Arial" w:cs="Arial"/>
              </w:rPr>
            </w:pPr>
            <w:r w:rsidRPr="00CE3CAD">
              <w:rPr>
                <w:rFonts w:ascii="Arial" w:hAnsi="Arial" w:cs="Arial"/>
              </w:rPr>
              <w:t>NHS Continuing Healthcare - Often abbreviated to ‘NHS CHC’ or ‘CHC’.</w:t>
            </w:r>
          </w:p>
          <w:p w14:paraId="5B67F5A0" w14:textId="77777777" w:rsidR="00BC7696" w:rsidRPr="00CE3CAD" w:rsidRDefault="00BC7696" w:rsidP="007A1A3C">
            <w:pPr>
              <w:pStyle w:val="NoSpacing"/>
              <w:rPr>
                <w:rFonts w:ascii="Arial" w:hAnsi="Arial" w:cs="Arial"/>
              </w:rPr>
            </w:pPr>
            <w:r w:rsidRPr="00CE3CAD">
              <w:rPr>
                <w:rFonts w:ascii="Arial" w:hAnsi="Arial" w:cs="Arial"/>
              </w:rPr>
              <w:t>Means a package of care that is provided and funded solely by the NHS.</w:t>
            </w:r>
          </w:p>
        </w:tc>
      </w:tr>
      <w:tr w:rsidR="00A862B5" w:rsidRPr="00CE3CAD" w14:paraId="0902DC8F" w14:textId="77777777" w:rsidTr="007A1A3C">
        <w:tc>
          <w:tcPr>
            <w:tcW w:w="1950" w:type="dxa"/>
          </w:tcPr>
          <w:p w14:paraId="391F4FD5" w14:textId="7AD52196" w:rsidR="00A862B5" w:rsidRPr="00CE3CAD" w:rsidRDefault="00A862B5" w:rsidP="007A1A3C">
            <w:pPr>
              <w:pStyle w:val="NoSpacing"/>
              <w:rPr>
                <w:rFonts w:ascii="Arial" w:hAnsi="Arial" w:cs="Arial"/>
                <w:b/>
              </w:rPr>
            </w:pPr>
            <w:r w:rsidRPr="00CE3CAD">
              <w:rPr>
                <w:rFonts w:ascii="Arial" w:hAnsi="Arial" w:cs="Arial"/>
                <w:b/>
              </w:rPr>
              <w:t>CHC Lead Coordinator</w:t>
            </w:r>
          </w:p>
        </w:tc>
        <w:tc>
          <w:tcPr>
            <w:tcW w:w="7514" w:type="dxa"/>
          </w:tcPr>
          <w:p w14:paraId="01468256" w14:textId="3EA149C2" w:rsidR="00A862B5" w:rsidRPr="00CE3CAD" w:rsidRDefault="00A862B5" w:rsidP="007A1A3C">
            <w:pPr>
              <w:pStyle w:val="NoSpacing"/>
              <w:rPr>
                <w:rFonts w:ascii="Arial" w:hAnsi="Arial" w:cs="Arial"/>
              </w:rPr>
            </w:pPr>
            <w:r w:rsidRPr="00CE3CAD">
              <w:rPr>
                <w:rFonts w:ascii="Arial" w:hAnsi="Arial" w:cs="Arial"/>
              </w:rPr>
              <w:t>Assessor that will lead the meeting for the Decision Support Tool (DST)</w:t>
            </w:r>
          </w:p>
        </w:tc>
      </w:tr>
      <w:tr w:rsidR="00BC7696" w:rsidRPr="00CE3CAD" w14:paraId="06E27281" w14:textId="77777777" w:rsidTr="007A1A3C">
        <w:tc>
          <w:tcPr>
            <w:tcW w:w="1950" w:type="dxa"/>
          </w:tcPr>
          <w:p w14:paraId="410E1AC1" w14:textId="77777777" w:rsidR="00BC7696" w:rsidRPr="00CE3CAD" w:rsidRDefault="00BC7696" w:rsidP="007A1A3C">
            <w:pPr>
              <w:pStyle w:val="NoSpacing"/>
              <w:rPr>
                <w:rFonts w:ascii="Arial" w:hAnsi="Arial" w:cs="Arial"/>
                <w:b/>
              </w:rPr>
            </w:pPr>
            <w:r w:rsidRPr="00CE3CAD">
              <w:rPr>
                <w:rFonts w:ascii="Arial" w:hAnsi="Arial" w:cs="Arial"/>
                <w:b/>
              </w:rPr>
              <w:t>CHC</w:t>
            </w:r>
          </w:p>
          <w:p w14:paraId="552525E5" w14:textId="77777777" w:rsidR="00BC7696" w:rsidRPr="00CE3CAD" w:rsidRDefault="00BC7696" w:rsidP="007A1A3C">
            <w:pPr>
              <w:pStyle w:val="NoSpacing"/>
              <w:rPr>
                <w:rFonts w:ascii="Arial" w:hAnsi="Arial" w:cs="Arial"/>
                <w:b/>
              </w:rPr>
            </w:pPr>
            <w:r w:rsidRPr="00CE3CAD">
              <w:rPr>
                <w:rFonts w:ascii="Arial" w:hAnsi="Arial" w:cs="Arial"/>
                <w:b/>
              </w:rPr>
              <w:t>Co-ordinator</w:t>
            </w:r>
          </w:p>
          <w:p w14:paraId="0D2B9C7C" w14:textId="77777777" w:rsidR="00BC7696" w:rsidRPr="00CE3CAD" w:rsidRDefault="00BC7696" w:rsidP="007A1A3C">
            <w:pPr>
              <w:pStyle w:val="NoSpacing"/>
              <w:rPr>
                <w:rFonts w:ascii="Arial" w:hAnsi="Arial" w:cs="Arial"/>
                <w:b/>
              </w:rPr>
            </w:pPr>
            <w:r w:rsidRPr="00CE3CAD">
              <w:rPr>
                <w:rFonts w:ascii="Arial" w:hAnsi="Arial" w:cs="Arial"/>
                <w:b/>
              </w:rPr>
              <w:t>LCC</w:t>
            </w:r>
          </w:p>
        </w:tc>
        <w:tc>
          <w:tcPr>
            <w:tcW w:w="7514" w:type="dxa"/>
          </w:tcPr>
          <w:p w14:paraId="5D1EEFCD" w14:textId="77777777" w:rsidR="00BC7696" w:rsidRPr="00CE3CAD" w:rsidRDefault="00BC7696" w:rsidP="007A1A3C">
            <w:pPr>
              <w:pStyle w:val="NoSpacing"/>
              <w:rPr>
                <w:rFonts w:ascii="Arial" w:hAnsi="Arial" w:cs="Arial"/>
              </w:rPr>
            </w:pPr>
            <w:r w:rsidRPr="00CE3CAD">
              <w:rPr>
                <w:rFonts w:ascii="Arial" w:hAnsi="Arial" w:cs="Arial"/>
              </w:rPr>
              <w:t>A member of the Adult Social Care Team with responsibility for providing advice and support on the Local Authority’s role in the NHS Continuing Healthcare assessment process.</w:t>
            </w:r>
          </w:p>
        </w:tc>
      </w:tr>
      <w:tr w:rsidR="00BC7696" w:rsidRPr="00CE3CAD" w14:paraId="5D26D9D9" w14:textId="77777777" w:rsidTr="007A1A3C">
        <w:tc>
          <w:tcPr>
            <w:tcW w:w="1950" w:type="dxa"/>
          </w:tcPr>
          <w:p w14:paraId="384F68F9" w14:textId="77777777" w:rsidR="00BC7696" w:rsidRPr="00CE3CAD" w:rsidRDefault="00BC7696" w:rsidP="007A1A3C">
            <w:pPr>
              <w:pStyle w:val="NoSpacing"/>
              <w:rPr>
                <w:rFonts w:ascii="Arial" w:hAnsi="Arial" w:cs="Arial"/>
                <w:b/>
              </w:rPr>
            </w:pPr>
            <w:r w:rsidRPr="00CE3CAD">
              <w:rPr>
                <w:rFonts w:ascii="Arial" w:hAnsi="Arial" w:cs="Arial"/>
                <w:b/>
              </w:rPr>
              <w:t>Dispute</w:t>
            </w:r>
          </w:p>
        </w:tc>
        <w:tc>
          <w:tcPr>
            <w:tcW w:w="7514" w:type="dxa"/>
          </w:tcPr>
          <w:p w14:paraId="597AF571" w14:textId="77777777" w:rsidR="00BC7696" w:rsidRPr="00CE3CAD" w:rsidRDefault="00BC7696" w:rsidP="007A1A3C">
            <w:pPr>
              <w:pStyle w:val="NoSpacing"/>
              <w:rPr>
                <w:rFonts w:ascii="Arial" w:hAnsi="Arial" w:cs="Arial"/>
              </w:rPr>
            </w:pPr>
            <w:r w:rsidRPr="00CE3CAD">
              <w:rPr>
                <w:rFonts w:ascii="Arial" w:hAnsi="Arial" w:cs="Arial"/>
              </w:rPr>
              <w:t>Disagreement between partners organisations regarding the CHC eligibility decision.</w:t>
            </w:r>
          </w:p>
        </w:tc>
      </w:tr>
      <w:tr w:rsidR="00BC7696" w:rsidRPr="00CE3CAD" w14:paraId="63C34A01" w14:textId="77777777" w:rsidTr="007A1A3C">
        <w:tc>
          <w:tcPr>
            <w:tcW w:w="1950" w:type="dxa"/>
          </w:tcPr>
          <w:p w14:paraId="368045F4" w14:textId="77777777" w:rsidR="00BC7696" w:rsidRPr="00CE3CAD" w:rsidRDefault="00BC7696" w:rsidP="007A1A3C">
            <w:pPr>
              <w:pStyle w:val="NoSpacing"/>
              <w:rPr>
                <w:rFonts w:ascii="Arial" w:hAnsi="Arial" w:cs="Arial"/>
                <w:b/>
                <w:highlight w:val="yellow"/>
              </w:rPr>
            </w:pPr>
            <w:r w:rsidRPr="00CE3CAD">
              <w:rPr>
                <w:rFonts w:ascii="Arial" w:hAnsi="Arial" w:cs="Arial"/>
                <w:b/>
              </w:rPr>
              <w:t>Due Regard</w:t>
            </w:r>
          </w:p>
        </w:tc>
        <w:tc>
          <w:tcPr>
            <w:tcW w:w="7514" w:type="dxa"/>
          </w:tcPr>
          <w:p w14:paraId="72087F99" w14:textId="77777777" w:rsidR="00BC7696" w:rsidRPr="00CE3CAD" w:rsidRDefault="00BC7696" w:rsidP="007A1A3C">
            <w:pPr>
              <w:pStyle w:val="NoSpacing"/>
              <w:rPr>
                <w:rFonts w:ascii="Arial" w:hAnsi="Arial" w:cs="Arial"/>
              </w:rPr>
            </w:pPr>
            <w:r w:rsidRPr="00CE3CAD">
              <w:rPr>
                <w:rFonts w:ascii="Arial" w:hAnsi="Arial" w:cs="Arial"/>
              </w:rPr>
              <w:t>Having ‘due regard’ to the Public Sector Equality Duty involves a proactive approach to:</w:t>
            </w:r>
          </w:p>
          <w:p w14:paraId="4B14083E" w14:textId="77777777" w:rsidR="00BC7696" w:rsidRPr="00CE3CAD" w:rsidRDefault="00BC7696" w:rsidP="00BC7696">
            <w:pPr>
              <w:pStyle w:val="NoSpacing"/>
              <w:numPr>
                <w:ilvl w:val="0"/>
                <w:numId w:val="2"/>
              </w:numPr>
              <w:rPr>
                <w:rFonts w:ascii="Arial" w:hAnsi="Arial" w:cs="Arial"/>
              </w:rPr>
            </w:pPr>
            <w:r w:rsidRPr="00CE3CAD">
              <w:rPr>
                <w:rFonts w:ascii="Arial" w:hAnsi="Arial" w:cs="Arial"/>
              </w:rPr>
              <w:t>eliminating discrimination</w:t>
            </w:r>
          </w:p>
          <w:p w14:paraId="5A8D0F82" w14:textId="77777777" w:rsidR="00BC7696" w:rsidRPr="00CE3CAD" w:rsidRDefault="00BC7696" w:rsidP="00BC7696">
            <w:pPr>
              <w:pStyle w:val="NoSpacing"/>
              <w:numPr>
                <w:ilvl w:val="0"/>
                <w:numId w:val="2"/>
              </w:numPr>
              <w:rPr>
                <w:rFonts w:ascii="Arial" w:hAnsi="Arial" w:cs="Arial"/>
              </w:rPr>
            </w:pPr>
            <w:r w:rsidRPr="00CE3CAD">
              <w:rPr>
                <w:rFonts w:ascii="Arial" w:hAnsi="Arial" w:cs="Arial"/>
              </w:rPr>
              <w:t>advancing equality of opportunity</w:t>
            </w:r>
          </w:p>
          <w:p w14:paraId="7098D806" w14:textId="77777777" w:rsidR="00BC7696" w:rsidRPr="00CE3CAD" w:rsidRDefault="00BC7696" w:rsidP="00BC7696">
            <w:pPr>
              <w:pStyle w:val="NoSpacing"/>
              <w:numPr>
                <w:ilvl w:val="0"/>
                <w:numId w:val="2"/>
              </w:numPr>
              <w:rPr>
                <w:rFonts w:ascii="Arial" w:hAnsi="Arial" w:cs="Arial"/>
              </w:rPr>
            </w:pPr>
            <w:r w:rsidRPr="00CE3CAD">
              <w:rPr>
                <w:rFonts w:ascii="Arial" w:hAnsi="Arial" w:cs="Arial"/>
              </w:rPr>
              <w:t>fostering good relations between persons who share a protected characteristic and those who do not</w:t>
            </w:r>
          </w:p>
          <w:p w14:paraId="32A44A4D" w14:textId="77777777" w:rsidR="00BC7696" w:rsidRPr="00CE3CAD" w:rsidRDefault="00BC7696" w:rsidP="007A1A3C">
            <w:pPr>
              <w:pStyle w:val="NoSpacing"/>
              <w:rPr>
                <w:rFonts w:ascii="Arial" w:hAnsi="Arial" w:cs="Arial"/>
              </w:rPr>
            </w:pPr>
            <w:r w:rsidRPr="00CE3CAD">
              <w:rPr>
                <w:rFonts w:ascii="Arial" w:hAnsi="Arial" w:cs="Arial"/>
              </w:rPr>
              <w:t>This also includes taking steps to meet the needs of people from protected groups where these are different from the needs of other people and encouraging people from protected groups to participate in public life or in other activities where their participation is disproportionately low.</w:t>
            </w:r>
          </w:p>
        </w:tc>
      </w:tr>
      <w:tr w:rsidR="00BC7696" w:rsidRPr="00CE3CAD" w14:paraId="5AA9A404" w14:textId="77777777" w:rsidTr="007A1A3C">
        <w:tc>
          <w:tcPr>
            <w:tcW w:w="1950" w:type="dxa"/>
          </w:tcPr>
          <w:p w14:paraId="55FB06FE" w14:textId="77777777" w:rsidR="00BC7696" w:rsidRPr="00CE3CAD" w:rsidRDefault="00BC7696" w:rsidP="007A1A3C">
            <w:pPr>
              <w:pStyle w:val="NoSpacing"/>
              <w:rPr>
                <w:rFonts w:ascii="Arial" w:hAnsi="Arial" w:cs="Arial"/>
                <w:b/>
              </w:rPr>
            </w:pPr>
            <w:r w:rsidRPr="00CE3CAD">
              <w:rPr>
                <w:rFonts w:ascii="Arial" w:hAnsi="Arial" w:cs="Arial"/>
                <w:b/>
              </w:rPr>
              <w:t>Eligibility decision</w:t>
            </w:r>
          </w:p>
        </w:tc>
        <w:tc>
          <w:tcPr>
            <w:tcW w:w="7514" w:type="dxa"/>
          </w:tcPr>
          <w:p w14:paraId="1A481711" w14:textId="77777777" w:rsidR="00BC7696" w:rsidRPr="00CE3CAD" w:rsidRDefault="00BC7696" w:rsidP="007A1A3C">
            <w:pPr>
              <w:pStyle w:val="NoSpacing"/>
              <w:rPr>
                <w:rFonts w:ascii="Arial" w:hAnsi="Arial" w:cs="Arial"/>
              </w:rPr>
            </w:pPr>
            <w:r w:rsidRPr="00CE3CAD">
              <w:rPr>
                <w:rFonts w:ascii="Arial" w:hAnsi="Arial" w:cs="Arial"/>
              </w:rPr>
              <w:t xml:space="preserve">Where an individual </w:t>
            </w:r>
            <w:proofErr w:type="gramStart"/>
            <w:r w:rsidRPr="00CE3CAD">
              <w:rPr>
                <w:rFonts w:ascii="Arial" w:hAnsi="Arial" w:cs="Arial"/>
              </w:rPr>
              <w:t>is considered to be</w:t>
            </w:r>
            <w:proofErr w:type="gramEnd"/>
            <w:r w:rsidRPr="00CE3CAD">
              <w:rPr>
                <w:rFonts w:ascii="Arial" w:hAnsi="Arial" w:cs="Arial"/>
              </w:rPr>
              <w:t xml:space="preserve"> eligible </w:t>
            </w:r>
            <w:r w:rsidRPr="00CE3CAD">
              <w:rPr>
                <w:rFonts w:ascii="Arial" w:hAnsi="Arial" w:cs="Arial"/>
                <w:u w:val="single"/>
              </w:rPr>
              <w:t>or</w:t>
            </w:r>
            <w:r w:rsidRPr="00CE3CAD">
              <w:rPr>
                <w:rFonts w:ascii="Arial" w:hAnsi="Arial" w:cs="Arial"/>
              </w:rPr>
              <w:t xml:space="preserve"> non-eligible for NHS Continuing Healthcare funding.</w:t>
            </w:r>
          </w:p>
        </w:tc>
      </w:tr>
      <w:tr w:rsidR="00BC7696" w:rsidRPr="00CE3CAD" w14:paraId="0437E236" w14:textId="77777777" w:rsidTr="007A1A3C">
        <w:tc>
          <w:tcPr>
            <w:tcW w:w="1950" w:type="dxa"/>
          </w:tcPr>
          <w:p w14:paraId="39061A2D" w14:textId="77777777" w:rsidR="00BC7696" w:rsidRPr="00CE3CAD" w:rsidRDefault="00BC7696" w:rsidP="007A1A3C">
            <w:pPr>
              <w:pStyle w:val="NoSpacing"/>
              <w:rPr>
                <w:rFonts w:ascii="Arial" w:hAnsi="Arial" w:cs="Arial"/>
                <w:b/>
              </w:rPr>
            </w:pPr>
            <w:r w:rsidRPr="00CE3CAD">
              <w:rPr>
                <w:rFonts w:ascii="Arial" w:hAnsi="Arial" w:cs="Arial"/>
                <w:b/>
              </w:rPr>
              <w:t>Framework</w:t>
            </w:r>
          </w:p>
        </w:tc>
        <w:tc>
          <w:tcPr>
            <w:tcW w:w="7514" w:type="dxa"/>
          </w:tcPr>
          <w:p w14:paraId="3A26F954" w14:textId="77777777" w:rsidR="00BC7696" w:rsidRPr="00CE3CAD" w:rsidRDefault="00BC7696" w:rsidP="007A1A3C">
            <w:pPr>
              <w:pStyle w:val="NoSpacing"/>
              <w:rPr>
                <w:rFonts w:ascii="Arial" w:hAnsi="Arial" w:cs="Arial"/>
              </w:rPr>
            </w:pPr>
            <w:r w:rsidRPr="00CE3CAD">
              <w:rPr>
                <w:rFonts w:ascii="Arial" w:hAnsi="Arial" w:cs="Arial"/>
              </w:rPr>
              <w:t>A set of principles/guidance, used to support decisions and judgments.</w:t>
            </w:r>
          </w:p>
        </w:tc>
      </w:tr>
      <w:tr w:rsidR="00BC7696" w:rsidRPr="00CE3CAD" w14:paraId="59EFA5EF" w14:textId="77777777" w:rsidTr="007A1A3C">
        <w:tc>
          <w:tcPr>
            <w:tcW w:w="1950" w:type="dxa"/>
          </w:tcPr>
          <w:p w14:paraId="6EEDEB29" w14:textId="77777777" w:rsidR="00BC7696" w:rsidRPr="00CE3CAD" w:rsidRDefault="00BC7696" w:rsidP="007A1A3C">
            <w:pPr>
              <w:pStyle w:val="NoSpacing"/>
              <w:rPr>
                <w:rFonts w:ascii="Arial" w:hAnsi="Arial" w:cs="Arial"/>
                <w:b/>
              </w:rPr>
            </w:pPr>
            <w:r w:rsidRPr="00CE3CAD">
              <w:rPr>
                <w:rFonts w:ascii="Arial" w:hAnsi="Arial" w:cs="Arial"/>
                <w:b/>
              </w:rPr>
              <w:t>Manager General/Area</w:t>
            </w:r>
          </w:p>
        </w:tc>
        <w:tc>
          <w:tcPr>
            <w:tcW w:w="7514" w:type="dxa"/>
          </w:tcPr>
          <w:p w14:paraId="386370EA" w14:textId="77777777" w:rsidR="00BC7696" w:rsidRPr="00CE3CAD" w:rsidRDefault="00BC7696" w:rsidP="007A1A3C">
            <w:pPr>
              <w:pStyle w:val="NoSpacing"/>
              <w:rPr>
                <w:rFonts w:ascii="Arial" w:hAnsi="Arial" w:cs="Arial"/>
              </w:rPr>
            </w:pPr>
            <w:r w:rsidRPr="00CE3CAD">
              <w:rPr>
                <w:rFonts w:ascii="Arial" w:hAnsi="Arial" w:cs="Arial"/>
              </w:rPr>
              <w:t xml:space="preserve">Manager in Lincolnshire County Council, responsible for teams of adult social care workers, within a designated geographical area. </w:t>
            </w:r>
          </w:p>
        </w:tc>
      </w:tr>
      <w:tr w:rsidR="00BC7696" w:rsidRPr="00CE3CAD" w14:paraId="7DCE27D8" w14:textId="77777777" w:rsidTr="007A1A3C">
        <w:tc>
          <w:tcPr>
            <w:tcW w:w="1950" w:type="dxa"/>
          </w:tcPr>
          <w:p w14:paraId="59BDB55D" w14:textId="77777777" w:rsidR="00BC7696" w:rsidRPr="00CE3CAD" w:rsidRDefault="00BC7696" w:rsidP="007A1A3C">
            <w:pPr>
              <w:pStyle w:val="NoSpacing"/>
              <w:rPr>
                <w:rFonts w:ascii="Arial" w:hAnsi="Arial" w:cs="Arial"/>
                <w:b/>
              </w:rPr>
            </w:pPr>
            <w:r w:rsidRPr="00CE3CAD">
              <w:rPr>
                <w:rFonts w:ascii="Arial" w:hAnsi="Arial" w:cs="Arial"/>
                <w:b/>
              </w:rPr>
              <w:t>Independent Arbitration Panel</w:t>
            </w:r>
          </w:p>
        </w:tc>
        <w:tc>
          <w:tcPr>
            <w:tcW w:w="7514" w:type="dxa"/>
          </w:tcPr>
          <w:p w14:paraId="5DE38E12" w14:textId="68CF42C7" w:rsidR="00BC7696" w:rsidRPr="00CE3CAD" w:rsidRDefault="00BC7696" w:rsidP="007A1A3C">
            <w:pPr>
              <w:pStyle w:val="NoSpacing"/>
              <w:rPr>
                <w:rFonts w:ascii="Arial" w:hAnsi="Arial" w:cs="Arial"/>
              </w:rPr>
            </w:pPr>
            <w:r w:rsidRPr="00CE3CAD">
              <w:rPr>
                <w:rFonts w:ascii="Arial" w:hAnsi="Arial" w:cs="Arial"/>
              </w:rPr>
              <w:t xml:space="preserve">Membership consists of health and social care practitioners who have no link to the area or agencies involved in the dispute. Aim of the Panel is to provide a transparent process for </w:t>
            </w:r>
            <w:r w:rsidR="00E271F0">
              <w:rPr>
                <w:rFonts w:ascii="Arial" w:hAnsi="Arial" w:cs="Arial"/>
              </w:rPr>
              <w:t>ICB</w:t>
            </w:r>
            <w:r w:rsidRPr="00CE3CAD">
              <w:rPr>
                <w:rFonts w:ascii="Arial" w:hAnsi="Arial" w:cs="Arial"/>
              </w:rPr>
              <w:t>s and LAs with an impartial decision for resolving funding disputes.</w:t>
            </w:r>
          </w:p>
        </w:tc>
      </w:tr>
      <w:tr w:rsidR="00BC7696" w:rsidRPr="00CE3CAD" w14:paraId="28C86E2B" w14:textId="77777777" w:rsidTr="007A1A3C">
        <w:tc>
          <w:tcPr>
            <w:tcW w:w="1950" w:type="dxa"/>
          </w:tcPr>
          <w:p w14:paraId="68DB8B78" w14:textId="77777777" w:rsidR="00BC7696" w:rsidRPr="00CE3CAD" w:rsidRDefault="00BC7696" w:rsidP="007A1A3C">
            <w:pPr>
              <w:pStyle w:val="NoSpacing"/>
              <w:rPr>
                <w:rFonts w:ascii="Arial" w:hAnsi="Arial" w:cs="Arial"/>
                <w:b/>
              </w:rPr>
            </w:pPr>
            <w:r w:rsidRPr="00CE3CAD">
              <w:rPr>
                <w:rFonts w:ascii="Arial" w:hAnsi="Arial" w:cs="Arial"/>
                <w:b/>
              </w:rPr>
              <w:t>LA</w:t>
            </w:r>
          </w:p>
        </w:tc>
        <w:tc>
          <w:tcPr>
            <w:tcW w:w="7514" w:type="dxa"/>
          </w:tcPr>
          <w:p w14:paraId="49825A21" w14:textId="77777777" w:rsidR="00BC7696" w:rsidRPr="00CE3CAD" w:rsidRDefault="00BC7696" w:rsidP="007A1A3C">
            <w:pPr>
              <w:pStyle w:val="NoSpacing"/>
              <w:rPr>
                <w:rFonts w:ascii="Arial" w:hAnsi="Arial" w:cs="Arial"/>
              </w:rPr>
            </w:pPr>
            <w:r w:rsidRPr="00CE3CAD">
              <w:rPr>
                <w:rFonts w:ascii="Arial" w:hAnsi="Arial" w:cs="Arial"/>
              </w:rPr>
              <w:t>Local Authority</w:t>
            </w:r>
          </w:p>
        </w:tc>
      </w:tr>
      <w:tr w:rsidR="00BC7696" w:rsidRPr="00CE3CAD" w14:paraId="38D3D65D" w14:textId="77777777" w:rsidTr="007A1A3C">
        <w:tc>
          <w:tcPr>
            <w:tcW w:w="1950" w:type="dxa"/>
          </w:tcPr>
          <w:p w14:paraId="2C373AB8" w14:textId="77777777" w:rsidR="00BC7696" w:rsidRPr="00CE3CAD" w:rsidRDefault="00BC7696" w:rsidP="007A1A3C">
            <w:pPr>
              <w:pStyle w:val="NoSpacing"/>
              <w:rPr>
                <w:rFonts w:ascii="Arial" w:hAnsi="Arial" w:cs="Arial"/>
                <w:b/>
              </w:rPr>
            </w:pPr>
            <w:r w:rsidRPr="00CE3CAD">
              <w:rPr>
                <w:rFonts w:ascii="Arial" w:hAnsi="Arial" w:cs="Arial"/>
                <w:b/>
              </w:rPr>
              <w:t>LCC</w:t>
            </w:r>
          </w:p>
        </w:tc>
        <w:tc>
          <w:tcPr>
            <w:tcW w:w="7514" w:type="dxa"/>
          </w:tcPr>
          <w:p w14:paraId="5DD4692D" w14:textId="77777777" w:rsidR="00BC7696" w:rsidRPr="00CE3CAD" w:rsidRDefault="00BC7696" w:rsidP="007A1A3C">
            <w:pPr>
              <w:pStyle w:val="NoSpacing"/>
              <w:rPr>
                <w:rFonts w:ascii="Arial" w:hAnsi="Arial" w:cs="Arial"/>
              </w:rPr>
            </w:pPr>
            <w:r w:rsidRPr="00CE3CAD">
              <w:rPr>
                <w:rFonts w:ascii="Arial" w:hAnsi="Arial" w:cs="Arial"/>
              </w:rPr>
              <w:t>Lincolnshire County Council</w:t>
            </w:r>
          </w:p>
        </w:tc>
      </w:tr>
      <w:tr w:rsidR="00BC7696" w:rsidRPr="00CE3CAD" w14:paraId="60D6B1AA" w14:textId="77777777" w:rsidTr="007A1A3C">
        <w:tc>
          <w:tcPr>
            <w:tcW w:w="1950" w:type="dxa"/>
          </w:tcPr>
          <w:p w14:paraId="31D380A8" w14:textId="77777777" w:rsidR="00BC7696" w:rsidRPr="00CE3CAD" w:rsidRDefault="00BC7696" w:rsidP="007A1A3C">
            <w:pPr>
              <w:pStyle w:val="NoSpacing"/>
              <w:rPr>
                <w:rFonts w:ascii="Arial" w:hAnsi="Arial" w:cs="Arial"/>
                <w:b/>
              </w:rPr>
            </w:pPr>
            <w:r w:rsidRPr="00CE3CAD">
              <w:rPr>
                <w:rFonts w:ascii="Arial" w:hAnsi="Arial" w:cs="Arial"/>
                <w:b/>
              </w:rPr>
              <w:t>Panel Meeting</w:t>
            </w:r>
          </w:p>
        </w:tc>
        <w:tc>
          <w:tcPr>
            <w:tcW w:w="7514" w:type="dxa"/>
          </w:tcPr>
          <w:p w14:paraId="19FB82D4" w14:textId="5FC247A7" w:rsidR="00BC7696" w:rsidRPr="00CE3CAD" w:rsidRDefault="00BC7696" w:rsidP="007A1A3C">
            <w:pPr>
              <w:pStyle w:val="NoSpacing"/>
              <w:rPr>
                <w:rFonts w:ascii="Arial" w:hAnsi="Arial" w:cs="Arial"/>
              </w:rPr>
            </w:pPr>
            <w:r w:rsidRPr="00CE3CAD">
              <w:rPr>
                <w:rFonts w:ascii="Arial" w:hAnsi="Arial" w:cs="Arial"/>
              </w:rPr>
              <w:t xml:space="preserve">Panel meeting, consisting of a </w:t>
            </w:r>
            <w:r w:rsidR="00A862B5" w:rsidRPr="00CE3CAD">
              <w:rPr>
                <w:rFonts w:ascii="Arial" w:hAnsi="Arial" w:cs="Arial"/>
              </w:rPr>
              <w:t>chairperson</w:t>
            </w:r>
            <w:r w:rsidRPr="00CE3CAD">
              <w:rPr>
                <w:rFonts w:ascii="Arial" w:hAnsi="Arial" w:cs="Arial"/>
              </w:rPr>
              <w:t xml:space="preserve">, </w:t>
            </w:r>
            <w:r w:rsidR="00A862B5" w:rsidRPr="00CE3CAD">
              <w:rPr>
                <w:rFonts w:ascii="Arial" w:hAnsi="Arial" w:cs="Arial"/>
              </w:rPr>
              <w:t>one other</w:t>
            </w:r>
            <w:r w:rsidRPr="00CE3CAD">
              <w:rPr>
                <w:rFonts w:ascii="Arial" w:hAnsi="Arial" w:cs="Arial"/>
              </w:rPr>
              <w:t xml:space="preserve"> registered nurse from the Lincolnshire </w:t>
            </w:r>
            <w:r w:rsidR="00E271F0">
              <w:rPr>
                <w:rFonts w:ascii="Arial" w:hAnsi="Arial" w:cs="Arial"/>
              </w:rPr>
              <w:t>ICB</w:t>
            </w:r>
            <w:r w:rsidRPr="00CE3CAD">
              <w:rPr>
                <w:rFonts w:ascii="Arial" w:hAnsi="Arial" w:cs="Arial"/>
              </w:rPr>
              <w:t xml:space="preserve"> NHS Continuing Healthcare service provider and a representative from Lincolnshire County Council adult social care.</w:t>
            </w:r>
          </w:p>
        </w:tc>
      </w:tr>
      <w:tr w:rsidR="00BC7696" w:rsidRPr="00CE3CAD" w14:paraId="5763B5D4" w14:textId="77777777" w:rsidTr="007A1A3C">
        <w:tc>
          <w:tcPr>
            <w:tcW w:w="1950" w:type="dxa"/>
          </w:tcPr>
          <w:p w14:paraId="276ABEDF" w14:textId="77777777" w:rsidR="00BC7696" w:rsidRPr="00CE3CAD" w:rsidRDefault="00BC7696" w:rsidP="007A1A3C">
            <w:pPr>
              <w:pStyle w:val="NoSpacing"/>
              <w:rPr>
                <w:rFonts w:ascii="Arial" w:hAnsi="Arial" w:cs="Arial"/>
                <w:b/>
              </w:rPr>
            </w:pPr>
            <w:r w:rsidRPr="00CE3CAD">
              <w:rPr>
                <w:rFonts w:ascii="Arial" w:hAnsi="Arial" w:cs="Arial"/>
                <w:b/>
              </w:rPr>
              <w:t>MDT</w:t>
            </w:r>
          </w:p>
        </w:tc>
        <w:tc>
          <w:tcPr>
            <w:tcW w:w="7514" w:type="dxa"/>
          </w:tcPr>
          <w:p w14:paraId="45292B02" w14:textId="77777777" w:rsidR="00BC7696" w:rsidRPr="00CE3CAD" w:rsidRDefault="00BC7696" w:rsidP="007A1A3C">
            <w:pPr>
              <w:pStyle w:val="NoSpacing"/>
              <w:rPr>
                <w:rFonts w:ascii="Arial" w:hAnsi="Arial" w:cs="Arial"/>
              </w:rPr>
            </w:pPr>
            <w:r w:rsidRPr="00CE3CAD">
              <w:rPr>
                <w:rFonts w:ascii="Arial" w:hAnsi="Arial" w:cs="Arial"/>
              </w:rPr>
              <w:t>Multi-disciplinary team. A team consisting of at least two practitioners from different disciplines. For the purpose of addressing interagency disputes regarding eligibility for NHS continuing healthcare this will include, as a minimum, a registered health professional and an adult social care worker.</w:t>
            </w:r>
          </w:p>
        </w:tc>
      </w:tr>
      <w:tr w:rsidR="00BC7696" w:rsidRPr="00CE3CAD" w14:paraId="6B6294D9" w14:textId="77777777" w:rsidTr="007A1A3C">
        <w:tc>
          <w:tcPr>
            <w:tcW w:w="1950" w:type="dxa"/>
          </w:tcPr>
          <w:p w14:paraId="27437882" w14:textId="77777777" w:rsidR="00BC7696" w:rsidRPr="00CE3CAD" w:rsidRDefault="00BC7696" w:rsidP="007A1A3C">
            <w:pPr>
              <w:pStyle w:val="NoSpacing"/>
              <w:rPr>
                <w:rFonts w:ascii="Arial" w:hAnsi="Arial" w:cs="Arial"/>
                <w:b/>
              </w:rPr>
            </w:pPr>
            <w:r w:rsidRPr="00CE3CAD">
              <w:rPr>
                <w:rFonts w:ascii="Arial" w:hAnsi="Arial" w:cs="Arial"/>
                <w:b/>
              </w:rPr>
              <w:t>Multi-agency Meeting Logs</w:t>
            </w:r>
          </w:p>
        </w:tc>
        <w:tc>
          <w:tcPr>
            <w:tcW w:w="7514" w:type="dxa"/>
          </w:tcPr>
          <w:p w14:paraId="6272DBAE" w14:textId="77777777" w:rsidR="00BC7696" w:rsidRPr="00CE3CAD" w:rsidRDefault="00BC7696" w:rsidP="007A1A3C">
            <w:pPr>
              <w:pStyle w:val="NoSpacing"/>
              <w:rPr>
                <w:rFonts w:ascii="Arial" w:hAnsi="Arial" w:cs="Arial"/>
              </w:rPr>
            </w:pPr>
            <w:r w:rsidRPr="00CE3CAD">
              <w:rPr>
                <w:rFonts w:ascii="Arial" w:hAnsi="Arial" w:cs="Arial"/>
              </w:rPr>
              <w:t>A written record of the NHS Continuing Healthcare multi-agency meeting process and eligibility decision for an individual case.</w:t>
            </w:r>
          </w:p>
        </w:tc>
      </w:tr>
      <w:tr w:rsidR="00BC7696" w:rsidRPr="00CE3CAD" w14:paraId="2674DFE2" w14:textId="77777777" w:rsidTr="007A1A3C">
        <w:tc>
          <w:tcPr>
            <w:tcW w:w="1950" w:type="dxa"/>
          </w:tcPr>
          <w:p w14:paraId="3FF54597" w14:textId="77777777" w:rsidR="00BC7696" w:rsidRPr="00CE3CAD" w:rsidRDefault="00BC7696" w:rsidP="007A1A3C">
            <w:pPr>
              <w:pStyle w:val="NoSpacing"/>
              <w:rPr>
                <w:rFonts w:ascii="Arial" w:hAnsi="Arial" w:cs="Arial"/>
                <w:b/>
              </w:rPr>
            </w:pPr>
            <w:r w:rsidRPr="00CE3CAD">
              <w:rPr>
                <w:rFonts w:ascii="Arial" w:hAnsi="Arial" w:cs="Arial"/>
                <w:b/>
              </w:rPr>
              <w:t>Policy</w:t>
            </w:r>
          </w:p>
        </w:tc>
        <w:tc>
          <w:tcPr>
            <w:tcW w:w="7514" w:type="dxa"/>
          </w:tcPr>
          <w:p w14:paraId="3F7B75F7" w14:textId="32C3361A" w:rsidR="00BC7696" w:rsidRPr="00CE3CAD" w:rsidRDefault="00BC7696" w:rsidP="007A1A3C">
            <w:pPr>
              <w:pStyle w:val="NoSpacing"/>
              <w:rPr>
                <w:rFonts w:ascii="Arial" w:hAnsi="Arial" w:cs="Arial"/>
              </w:rPr>
            </w:pPr>
            <w:r w:rsidRPr="00CE3CAD">
              <w:rPr>
                <w:rFonts w:ascii="Arial" w:hAnsi="Arial" w:cs="Arial"/>
              </w:rPr>
              <w:t xml:space="preserve">Principles and/or rules which have been formulated and approved by the relevant </w:t>
            </w:r>
            <w:r w:rsidR="00E271F0">
              <w:rPr>
                <w:rFonts w:ascii="Arial" w:hAnsi="Arial" w:cs="Arial"/>
              </w:rPr>
              <w:t>ICB</w:t>
            </w:r>
            <w:r w:rsidRPr="00CE3CAD">
              <w:rPr>
                <w:rFonts w:ascii="Arial" w:hAnsi="Arial" w:cs="Arial"/>
              </w:rPr>
              <w:t xml:space="preserve"> Board or committee, with delegated authority.</w:t>
            </w:r>
          </w:p>
          <w:p w14:paraId="7E6962D6" w14:textId="77777777" w:rsidR="00BC7696" w:rsidRPr="00CE3CAD" w:rsidRDefault="00BC7696" w:rsidP="007A1A3C">
            <w:pPr>
              <w:pStyle w:val="NoSpacing"/>
              <w:rPr>
                <w:rFonts w:ascii="Arial" w:hAnsi="Arial" w:cs="Arial"/>
              </w:rPr>
            </w:pPr>
            <w:r w:rsidRPr="00CE3CAD">
              <w:rPr>
                <w:rFonts w:ascii="Arial" w:hAnsi="Arial" w:cs="Arial"/>
              </w:rPr>
              <w:t>It is a set of statements, prescriptive by nature, documenting the standards, intentions and/or expectations of how a practice or course of action will be implemented and adopted.</w:t>
            </w:r>
          </w:p>
          <w:p w14:paraId="2C01B157" w14:textId="77777777" w:rsidR="00BC7696" w:rsidRPr="00CE3CAD" w:rsidRDefault="00BC7696" w:rsidP="007A1A3C">
            <w:pPr>
              <w:pStyle w:val="NoSpacing"/>
              <w:rPr>
                <w:rFonts w:ascii="Arial" w:hAnsi="Arial" w:cs="Arial"/>
              </w:rPr>
            </w:pPr>
            <w:r w:rsidRPr="00CE3CAD">
              <w:rPr>
                <w:rFonts w:ascii="Arial" w:hAnsi="Arial" w:cs="Arial"/>
              </w:rPr>
              <w:lastRenderedPageBreak/>
              <w:t>A policy is considered binding, and a breach of policy will result in an investigation into the reasons for the breach.</w:t>
            </w:r>
          </w:p>
          <w:p w14:paraId="57FD2B59" w14:textId="77777777" w:rsidR="00BC7696" w:rsidRPr="00CE3CAD" w:rsidRDefault="00BC7696" w:rsidP="007A1A3C">
            <w:pPr>
              <w:pStyle w:val="NoSpacing"/>
              <w:rPr>
                <w:rFonts w:ascii="Arial" w:hAnsi="Arial" w:cs="Arial"/>
              </w:rPr>
            </w:pPr>
            <w:r w:rsidRPr="00CE3CAD">
              <w:rPr>
                <w:rFonts w:ascii="Arial" w:hAnsi="Arial" w:cs="Arial"/>
              </w:rPr>
              <w:t>Where appropriate, information must be provided for patients and other stakeholders.</w:t>
            </w:r>
          </w:p>
        </w:tc>
      </w:tr>
      <w:tr w:rsidR="00A862B5" w:rsidRPr="00CE3CAD" w14:paraId="1CFCEF56" w14:textId="77777777" w:rsidTr="007A1A3C">
        <w:tc>
          <w:tcPr>
            <w:tcW w:w="1950" w:type="dxa"/>
          </w:tcPr>
          <w:p w14:paraId="0DF4CF33" w14:textId="093D8F19" w:rsidR="00A862B5" w:rsidRPr="00CE3CAD" w:rsidRDefault="00A862B5" w:rsidP="007A1A3C">
            <w:pPr>
              <w:pStyle w:val="NoSpacing"/>
              <w:rPr>
                <w:rFonts w:ascii="Arial" w:hAnsi="Arial" w:cs="Arial"/>
                <w:b/>
              </w:rPr>
            </w:pPr>
            <w:r w:rsidRPr="00CE3CAD">
              <w:rPr>
                <w:rFonts w:ascii="Arial" w:hAnsi="Arial" w:cs="Arial"/>
                <w:b/>
              </w:rPr>
              <w:lastRenderedPageBreak/>
              <w:t>Standard Operating Procedure</w:t>
            </w:r>
            <w:r w:rsidR="002531BE" w:rsidRPr="00CE3CAD">
              <w:rPr>
                <w:rFonts w:ascii="Arial" w:hAnsi="Arial" w:cs="Arial"/>
                <w:b/>
              </w:rPr>
              <w:t xml:space="preserve"> (SOP)</w:t>
            </w:r>
          </w:p>
        </w:tc>
        <w:tc>
          <w:tcPr>
            <w:tcW w:w="7514" w:type="dxa"/>
          </w:tcPr>
          <w:p w14:paraId="03BDA203" w14:textId="08AB3472" w:rsidR="00A862B5" w:rsidRPr="00CE3CAD" w:rsidRDefault="002531BE" w:rsidP="007A1A3C">
            <w:pPr>
              <w:pStyle w:val="NoSpacing"/>
              <w:rPr>
                <w:rFonts w:ascii="Arial" w:hAnsi="Arial" w:cs="Arial"/>
              </w:rPr>
            </w:pPr>
            <w:r w:rsidRPr="00CE3CAD">
              <w:rPr>
                <w:rFonts w:ascii="Arial" w:hAnsi="Arial" w:cs="Arial"/>
              </w:rPr>
              <w:t>Process for which the CHC Lead Coordinator will ensure that the case evidence and information is collated and submitted to the panel meeting.</w:t>
            </w:r>
          </w:p>
        </w:tc>
      </w:tr>
    </w:tbl>
    <w:p w14:paraId="6CBD9FD0" w14:textId="77777777" w:rsidR="00BC7696" w:rsidRPr="00CE3CAD" w:rsidRDefault="00BC7696" w:rsidP="00BC7696">
      <w:pPr>
        <w:pStyle w:val="Level1Text"/>
        <w:spacing w:before="0" w:after="120"/>
        <w:rPr>
          <w:rFonts w:eastAsia="Arial Bold" w:hAnsi="Arial" w:cs="Arial"/>
          <w:lang w:val="en-GB"/>
        </w:rPr>
      </w:pPr>
    </w:p>
    <w:p w14:paraId="41A8F00A" w14:textId="77777777" w:rsidR="00BC7696" w:rsidRPr="00CE3CAD" w:rsidRDefault="00BC7696" w:rsidP="00BC7696">
      <w:pPr>
        <w:pStyle w:val="Level1Text"/>
        <w:spacing w:before="0" w:after="120"/>
        <w:rPr>
          <w:rFonts w:eastAsia="Arial Bold" w:hAnsi="Arial" w:cs="Arial"/>
          <w:lang w:val="en-GB"/>
        </w:rPr>
      </w:pPr>
    </w:p>
    <w:p w14:paraId="090D84AE" w14:textId="77777777" w:rsidR="00BC7696" w:rsidRPr="00CE3CAD" w:rsidRDefault="00BC7696" w:rsidP="00BC7696">
      <w:pPr>
        <w:rPr>
          <w:rFonts w:ascii="Arial" w:hAnsi="Arial" w:cs="Arial"/>
        </w:rPr>
      </w:pPr>
    </w:p>
    <w:p w14:paraId="7C4D22FF" w14:textId="486D8067" w:rsidR="00BC7696" w:rsidRPr="00CE3CAD" w:rsidRDefault="00BC7696" w:rsidP="00BC7696">
      <w:pPr>
        <w:rPr>
          <w:rFonts w:ascii="Arial" w:hAnsi="Arial" w:cs="Arial"/>
        </w:rPr>
      </w:pPr>
    </w:p>
    <w:p w14:paraId="2BE3CD01" w14:textId="5D3C742E" w:rsidR="003948E5" w:rsidRPr="00CE3CAD" w:rsidRDefault="003948E5" w:rsidP="003948E5">
      <w:pPr>
        <w:rPr>
          <w:rFonts w:ascii="Arial" w:hAnsi="Arial" w:cs="Arial"/>
        </w:rPr>
      </w:pPr>
    </w:p>
    <w:p w14:paraId="7341FA39" w14:textId="45296407" w:rsidR="003948E5" w:rsidRPr="00CE3CAD" w:rsidRDefault="003948E5" w:rsidP="003948E5">
      <w:pPr>
        <w:rPr>
          <w:rFonts w:ascii="Arial" w:hAnsi="Arial" w:cs="Arial"/>
        </w:rPr>
      </w:pPr>
    </w:p>
    <w:p w14:paraId="5FEF3C2E" w14:textId="77E4902B" w:rsidR="003948E5" w:rsidRPr="00CE3CAD" w:rsidRDefault="003948E5" w:rsidP="003948E5">
      <w:pPr>
        <w:rPr>
          <w:rFonts w:ascii="Arial" w:hAnsi="Arial" w:cs="Arial"/>
        </w:rPr>
      </w:pPr>
    </w:p>
    <w:p w14:paraId="167BAB33" w14:textId="21637475" w:rsidR="003948E5" w:rsidRPr="00CE3CAD" w:rsidRDefault="003948E5" w:rsidP="003948E5">
      <w:pPr>
        <w:rPr>
          <w:rFonts w:ascii="Arial" w:hAnsi="Arial" w:cs="Arial"/>
        </w:rPr>
      </w:pPr>
    </w:p>
    <w:p w14:paraId="7F77776E" w14:textId="252DA961" w:rsidR="003948E5" w:rsidRPr="00CE3CAD" w:rsidRDefault="003948E5" w:rsidP="003948E5">
      <w:pPr>
        <w:rPr>
          <w:rFonts w:ascii="Arial" w:hAnsi="Arial" w:cs="Arial"/>
        </w:rPr>
      </w:pPr>
    </w:p>
    <w:p w14:paraId="63C7AFCC" w14:textId="7EB022D6" w:rsidR="003948E5" w:rsidRPr="00CE3CAD" w:rsidRDefault="003948E5" w:rsidP="003948E5">
      <w:pPr>
        <w:rPr>
          <w:rFonts w:ascii="Arial" w:hAnsi="Arial" w:cs="Arial"/>
        </w:rPr>
      </w:pPr>
    </w:p>
    <w:p w14:paraId="46356401" w14:textId="094A425F" w:rsidR="003948E5" w:rsidRPr="00CE3CAD" w:rsidRDefault="003948E5" w:rsidP="003948E5">
      <w:pPr>
        <w:rPr>
          <w:rFonts w:ascii="Arial" w:hAnsi="Arial" w:cs="Arial"/>
        </w:rPr>
      </w:pPr>
    </w:p>
    <w:p w14:paraId="00E0FF59" w14:textId="52B09BB9" w:rsidR="003948E5" w:rsidRPr="00CE3CAD" w:rsidRDefault="003948E5" w:rsidP="003948E5">
      <w:pPr>
        <w:rPr>
          <w:rFonts w:ascii="Arial" w:hAnsi="Arial" w:cs="Arial"/>
        </w:rPr>
      </w:pPr>
    </w:p>
    <w:p w14:paraId="5C52F05B" w14:textId="74DBCACB" w:rsidR="003948E5" w:rsidRPr="00CE3CAD" w:rsidRDefault="003948E5" w:rsidP="003948E5">
      <w:pPr>
        <w:rPr>
          <w:rFonts w:ascii="Arial" w:hAnsi="Arial" w:cs="Arial"/>
        </w:rPr>
      </w:pPr>
    </w:p>
    <w:p w14:paraId="2EFFB1A0" w14:textId="224E25E9" w:rsidR="003948E5" w:rsidRPr="00CE3CAD" w:rsidRDefault="003948E5" w:rsidP="003948E5">
      <w:pPr>
        <w:rPr>
          <w:rFonts w:ascii="Arial" w:hAnsi="Arial" w:cs="Arial"/>
        </w:rPr>
      </w:pPr>
    </w:p>
    <w:p w14:paraId="2B112CDE" w14:textId="4CF31697" w:rsidR="003948E5" w:rsidRPr="00CE3CAD" w:rsidRDefault="003948E5" w:rsidP="003948E5">
      <w:pPr>
        <w:rPr>
          <w:rFonts w:ascii="Arial" w:hAnsi="Arial" w:cs="Arial"/>
        </w:rPr>
      </w:pPr>
    </w:p>
    <w:p w14:paraId="24B685CF" w14:textId="09381FB5" w:rsidR="003948E5" w:rsidRPr="00CE3CAD" w:rsidRDefault="003948E5" w:rsidP="003948E5">
      <w:pPr>
        <w:rPr>
          <w:rFonts w:ascii="Arial" w:hAnsi="Arial" w:cs="Arial"/>
        </w:rPr>
      </w:pPr>
    </w:p>
    <w:p w14:paraId="49251D7F" w14:textId="2FE97A90" w:rsidR="003948E5" w:rsidRPr="00CE3CAD" w:rsidRDefault="003948E5" w:rsidP="003948E5">
      <w:pPr>
        <w:rPr>
          <w:rFonts w:ascii="Arial" w:hAnsi="Arial" w:cs="Arial"/>
        </w:rPr>
      </w:pPr>
    </w:p>
    <w:p w14:paraId="2B0FAF98" w14:textId="13D0266D" w:rsidR="003948E5" w:rsidRPr="00CE3CAD" w:rsidRDefault="003948E5" w:rsidP="003948E5">
      <w:pPr>
        <w:rPr>
          <w:rFonts w:ascii="Arial" w:hAnsi="Arial" w:cs="Arial"/>
        </w:rPr>
      </w:pPr>
    </w:p>
    <w:p w14:paraId="335ECCA9" w14:textId="56DE378D" w:rsidR="003948E5" w:rsidRPr="00CE3CAD" w:rsidRDefault="003948E5" w:rsidP="003948E5">
      <w:pPr>
        <w:rPr>
          <w:rFonts w:ascii="Arial" w:hAnsi="Arial" w:cs="Arial"/>
        </w:rPr>
      </w:pPr>
    </w:p>
    <w:p w14:paraId="2605F2FE" w14:textId="4D47BAC9" w:rsidR="003948E5" w:rsidRPr="00CE3CAD" w:rsidRDefault="003948E5" w:rsidP="003948E5">
      <w:pPr>
        <w:rPr>
          <w:rFonts w:ascii="Arial" w:hAnsi="Arial" w:cs="Arial"/>
        </w:rPr>
      </w:pPr>
    </w:p>
    <w:p w14:paraId="53D599EB" w14:textId="447EB199" w:rsidR="003948E5" w:rsidRPr="00CE3CAD" w:rsidRDefault="003948E5" w:rsidP="003948E5">
      <w:pPr>
        <w:rPr>
          <w:rFonts w:ascii="Arial" w:hAnsi="Arial" w:cs="Arial"/>
        </w:rPr>
      </w:pPr>
    </w:p>
    <w:p w14:paraId="4B7023A2" w14:textId="2813CAA8" w:rsidR="003948E5" w:rsidRPr="00CE3CAD" w:rsidRDefault="003948E5" w:rsidP="003948E5">
      <w:pPr>
        <w:rPr>
          <w:rFonts w:ascii="Arial" w:hAnsi="Arial" w:cs="Arial"/>
        </w:rPr>
      </w:pPr>
    </w:p>
    <w:p w14:paraId="1A52497A" w14:textId="61D99ADF" w:rsidR="003948E5" w:rsidRPr="00CE3CAD" w:rsidRDefault="003948E5" w:rsidP="003948E5">
      <w:pPr>
        <w:rPr>
          <w:rFonts w:ascii="Arial" w:hAnsi="Arial" w:cs="Arial"/>
        </w:rPr>
      </w:pPr>
    </w:p>
    <w:p w14:paraId="741736C6" w14:textId="399D3AFF" w:rsidR="003948E5" w:rsidRPr="00CE3CAD" w:rsidRDefault="003948E5" w:rsidP="003948E5">
      <w:pPr>
        <w:rPr>
          <w:rFonts w:ascii="Arial" w:hAnsi="Arial" w:cs="Arial"/>
        </w:rPr>
      </w:pPr>
    </w:p>
    <w:p w14:paraId="5FED2638" w14:textId="01D9CC15" w:rsidR="003948E5" w:rsidRPr="00CE3CAD" w:rsidRDefault="005055F0" w:rsidP="003948E5">
      <w:pPr>
        <w:rPr>
          <w:rFonts w:ascii="Arial" w:hAnsi="Arial" w:cs="Arial"/>
          <w:b/>
          <w:bCs/>
          <w:color w:val="4F81BD" w:themeColor="accent1"/>
          <w:sz w:val="28"/>
          <w:szCs w:val="28"/>
        </w:rPr>
      </w:pPr>
      <w:r w:rsidRPr="00CE3CAD">
        <w:rPr>
          <w:rFonts w:ascii="Arial" w:hAnsi="Arial" w:cs="Arial"/>
          <w:b/>
          <w:bCs/>
          <w:color w:val="4F81BD" w:themeColor="accent1"/>
          <w:sz w:val="28"/>
          <w:szCs w:val="28"/>
        </w:rPr>
        <w:t xml:space="preserve">13.0   </w:t>
      </w:r>
      <w:r w:rsidR="003948E5" w:rsidRPr="00CE3CAD">
        <w:rPr>
          <w:rFonts w:ascii="Arial" w:hAnsi="Arial" w:cs="Arial"/>
          <w:b/>
          <w:bCs/>
          <w:color w:val="4F81BD" w:themeColor="accent1"/>
          <w:sz w:val="28"/>
          <w:szCs w:val="28"/>
        </w:rPr>
        <w:t>APPENDIX A</w:t>
      </w:r>
    </w:p>
    <w:p w14:paraId="3E6896F7" w14:textId="465209C4" w:rsidR="003948E5" w:rsidRPr="00CE3CAD" w:rsidRDefault="003948E5" w:rsidP="003948E5">
      <w:pPr>
        <w:rPr>
          <w:rFonts w:ascii="Arial" w:hAnsi="Arial" w:cs="Arial"/>
          <w:b/>
          <w:bCs/>
          <w:sz w:val="28"/>
          <w:szCs w:val="28"/>
        </w:rPr>
      </w:pPr>
      <w:r w:rsidRPr="00CE3CAD">
        <w:rPr>
          <w:rFonts w:ascii="Arial" w:hAnsi="Arial" w:cs="Arial"/>
          <w:b/>
          <w:bCs/>
          <w:sz w:val="28"/>
          <w:szCs w:val="28"/>
        </w:rPr>
        <w:lastRenderedPageBreak/>
        <w:t>Standard Operating Procedure (SOP)</w:t>
      </w:r>
    </w:p>
    <w:p w14:paraId="544D7773" w14:textId="77777777" w:rsidR="00C30A5B" w:rsidRPr="00CE3CAD" w:rsidRDefault="00C30A5B" w:rsidP="003948E5">
      <w:pPr>
        <w:rPr>
          <w:rFonts w:ascii="Arial" w:hAnsi="Arial" w:cs="Arial"/>
          <w:b/>
          <w:bCs/>
          <w:color w:val="4F81BD" w:themeColor="accent1"/>
          <w:sz w:val="28"/>
          <w:szCs w:val="28"/>
        </w:rPr>
      </w:pPr>
    </w:p>
    <w:bookmarkStart w:id="26" w:name="_MON_1696243771"/>
    <w:bookmarkEnd w:id="26"/>
    <w:p w14:paraId="14DADFF4" w14:textId="4F372BEF" w:rsidR="00FA584F" w:rsidRPr="00CE3CAD" w:rsidRDefault="00E91C29" w:rsidP="00FA584F">
      <w:pPr>
        <w:rPr>
          <w:rFonts w:ascii="Arial" w:hAnsi="Arial" w:cs="Arial"/>
          <w:sz w:val="28"/>
          <w:szCs w:val="28"/>
        </w:rPr>
      </w:pPr>
      <w:r w:rsidRPr="00CE3CAD">
        <w:rPr>
          <w:rFonts w:ascii="Arial" w:hAnsi="Arial" w:cs="Arial"/>
          <w:sz w:val="28"/>
          <w:szCs w:val="28"/>
        </w:rPr>
        <w:object w:dxaOrig="1534" w:dyaOrig="994" w14:anchorId="129D56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5pt" o:ole="">
            <v:imagedata r:id="rId18" o:title=""/>
          </v:shape>
          <o:OLEObject Type="Embed" ProgID="Word.Document.12" ShapeID="_x0000_i1025" DrawAspect="Icon" ObjectID="_1721815711" r:id="rId19">
            <o:FieldCodes>\s</o:FieldCodes>
          </o:OLEObject>
        </w:object>
      </w:r>
    </w:p>
    <w:sectPr w:rsidR="00FA584F" w:rsidRPr="00CE3CAD">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0C760" w14:textId="77777777" w:rsidR="00B37840" w:rsidRDefault="00B37840" w:rsidP="00BC7696">
      <w:pPr>
        <w:spacing w:after="0" w:line="240" w:lineRule="auto"/>
      </w:pPr>
      <w:r>
        <w:separator/>
      </w:r>
    </w:p>
  </w:endnote>
  <w:endnote w:type="continuationSeparator" w:id="0">
    <w:p w14:paraId="4249D0DB" w14:textId="77777777" w:rsidR="00B37840" w:rsidRDefault="00B37840" w:rsidP="00BC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783385"/>
      <w:docPartObj>
        <w:docPartGallery w:val="Page Numbers (Bottom of Page)"/>
        <w:docPartUnique/>
      </w:docPartObj>
    </w:sdtPr>
    <w:sdtEndPr>
      <w:rPr>
        <w:color w:val="7F7F7F" w:themeColor="background1" w:themeShade="7F"/>
        <w:spacing w:val="60"/>
      </w:rPr>
    </w:sdtEndPr>
    <w:sdtContent>
      <w:p w14:paraId="74F47A5B" w14:textId="3D277DAD" w:rsidR="00B73C32" w:rsidRDefault="00B73C3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DC58A2C" w14:textId="77777777" w:rsidR="00B73C32" w:rsidRDefault="00B73C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811479"/>
      <w:docPartObj>
        <w:docPartGallery w:val="Page Numbers (Bottom of Page)"/>
        <w:docPartUnique/>
      </w:docPartObj>
    </w:sdtPr>
    <w:sdtEndPr>
      <w:rPr>
        <w:color w:val="7F7F7F" w:themeColor="background1" w:themeShade="7F"/>
        <w:spacing w:val="60"/>
      </w:rPr>
    </w:sdtEndPr>
    <w:sdtContent>
      <w:p w14:paraId="0B609BD7" w14:textId="0A68C5C6" w:rsidR="00BC7696" w:rsidRDefault="00BC769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DA9884B" w14:textId="77777777" w:rsidR="00BC7696" w:rsidRDefault="00BC7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11AD4" w14:textId="77777777" w:rsidR="00B37840" w:rsidRDefault="00B37840" w:rsidP="00BC7696">
      <w:pPr>
        <w:spacing w:after="0" w:line="240" w:lineRule="auto"/>
      </w:pPr>
      <w:r>
        <w:separator/>
      </w:r>
    </w:p>
  </w:footnote>
  <w:footnote w:type="continuationSeparator" w:id="0">
    <w:p w14:paraId="10F9A84D" w14:textId="77777777" w:rsidR="00B37840" w:rsidRDefault="00B37840" w:rsidP="00BC7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5354"/>
    <w:multiLevelType w:val="hybridMultilevel"/>
    <w:tmpl w:val="9AD45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76F0B"/>
    <w:multiLevelType w:val="multilevel"/>
    <w:tmpl w:val="868AD2A8"/>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7014447"/>
    <w:multiLevelType w:val="hybridMultilevel"/>
    <w:tmpl w:val="5426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50D83"/>
    <w:multiLevelType w:val="multilevel"/>
    <w:tmpl w:val="030A193E"/>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2DC34BD0"/>
    <w:multiLevelType w:val="hybridMultilevel"/>
    <w:tmpl w:val="3CF29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D9380E"/>
    <w:multiLevelType w:val="hybridMultilevel"/>
    <w:tmpl w:val="9E4081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F131B1"/>
    <w:multiLevelType w:val="hybridMultilevel"/>
    <w:tmpl w:val="985A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735E3C"/>
    <w:multiLevelType w:val="multilevel"/>
    <w:tmpl w:val="F54E37A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62657D95"/>
    <w:multiLevelType w:val="hybridMultilevel"/>
    <w:tmpl w:val="1B8635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2CA0AFC"/>
    <w:multiLevelType w:val="multilevel"/>
    <w:tmpl w:val="AB1CFCAE"/>
    <w:lvl w:ilvl="0">
      <w:start w:val="2"/>
      <w:numFmt w:val="decimal"/>
      <w:lvlText w:val="%1"/>
      <w:lvlJc w:val="left"/>
      <w:pPr>
        <w:ind w:left="405" w:hanging="405"/>
      </w:pPr>
      <w:rPr>
        <w:rFonts w:hint="default"/>
      </w:rPr>
    </w:lvl>
    <w:lvl w:ilvl="1">
      <w:start w:val="4"/>
      <w:numFmt w:val="decimal"/>
      <w:lvlText w:val="%1.%2"/>
      <w:lvlJc w:val="left"/>
      <w:pPr>
        <w:ind w:left="720" w:hanging="720"/>
      </w:pPr>
      <w:rPr>
        <w:rFonts w:hint="default"/>
        <w:color w:val="4F81BD" w:themeColor="accen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C191A1D"/>
    <w:multiLevelType w:val="hybridMultilevel"/>
    <w:tmpl w:val="2572E2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86270541">
    <w:abstractNumId w:val="8"/>
  </w:num>
  <w:num w:numId="2" w16cid:durableId="98649500">
    <w:abstractNumId w:val="2"/>
  </w:num>
  <w:num w:numId="3" w16cid:durableId="99106199">
    <w:abstractNumId w:val="6"/>
  </w:num>
  <w:num w:numId="4" w16cid:durableId="265502246">
    <w:abstractNumId w:val="5"/>
  </w:num>
  <w:num w:numId="5" w16cid:durableId="1779836769">
    <w:abstractNumId w:val="0"/>
  </w:num>
  <w:num w:numId="6" w16cid:durableId="1354454243">
    <w:abstractNumId w:val="10"/>
  </w:num>
  <w:num w:numId="7" w16cid:durableId="367531980">
    <w:abstractNumId w:val="9"/>
  </w:num>
  <w:num w:numId="8" w16cid:durableId="754597518">
    <w:abstractNumId w:val="4"/>
  </w:num>
  <w:num w:numId="9" w16cid:durableId="1265382067">
    <w:abstractNumId w:val="3"/>
  </w:num>
  <w:num w:numId="10" w16cid:durableId="18432556">
    <w:abstractNumId w:val="7"/>
  </w:num>
  <w:num w:numId="11" w16cid:durableId="1126243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696"/>
    <w:rsid w:val="001A55D9"/>
    <w:rsid w:val="001D1A82"/>
    <w:rsid w:val="002531BE"/>
    <w:rsid w:val="002A1DB2"/>
    <w:rsid w:val="002F56D2"/>
    <w:rsid w:val="00353BA7"/>
    <w:rsid w:val="003660C8"/>
    <w:rsid w:val="003948E5"/>
    <w:rsid w:val="004813C9"/>
    <w:rsid w:val="005055F0"/>
    <w:rsid w:val="00516580"/>
    <w:rsid w:val="005C17B1"/>
    <w:rsid w:val="005D639E"/>
    <w:rsid w:val="0063583D"/>
    <w:rsid w:val="00677F36"/>
    <w:rsid w:val="006B486B"/>
    <w:rsid w:val="008A3AAE"/>
    <w:rsid w:val="008B23B5"/>
    <w:rsid w:val="009321AF"/>
    <w:rsid w:val="00A115FB"/>
    <w:rsid w:val="00A862B5"/>
    <w:rsid w:val="00B37840"/>
    <w:rsid w:val="00B73C32"/>
    <w:rsid w:val="00B824E1"/>
    <w:rsid w:val="00BC7696"/>
    <w:rsid w:val="00BE1091"/>
    <w:rsid w:val="00C30A5B"/>
    <w:rsid w:val="00C41503"/>
    <w:rsid w:val="00CE3CAD"/>
    <w:rsid w:val="00D60553"/>
    <w:rsid w:val="00D60A18"/>
    <w:rsid w:val="00DC5925"/>
    <w:rsid w:val="00DE0F46"/>
    <w:rsid w:val="00DE45BD"/>
    <w:rsid w:val="00E120A2"/>
    <w:rsid w:val="00E271F0"/>
    <w:rsid w:val="00E371E3"/>
    <w:rsid w:val="00E40F55"/>
    <w:rsid w:val="00E91C29"/>
    <w:rsid w:val="00F62819"/>
    <w:rsid w:val="00F80880"/>
    <w:rsid w:val="00F86A43"/>
    <w:rsid w:val="00FA5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71913"/>
  <w15:chartTrackingRefBased/>
  <w15:docId w15:val="{B145CACD-1188-4448-B44F-FA6D2318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696"/>
  </w:style>
  <w:style w:type="paragraph" w:styleId="Heading1">
    <w:name w:val="heading 1"/>
    <w:basedOn w:val="Normal"/>
    <w:next w:val="Normal"/>
    <w:link w:val="Heading1Char"/>
    <w:uiPriority w:val="9"/>
    <w:qFormat/>
    <w:rsid w:val="00BC7696"/>
    <w:pPr>
      <w:keepNext/>
      <w:keepLines/>
      <w:pBdr>
        <w:top w:val="nil"/>
        <w:left w:val="nil"/>
        <w:bottom w:val="nil"/>
        <w:right w:val="nil"/>
        <w:between w:val="nil"/>
        <w:bar w:val="nil"/>
      </w:pBdr>
      <w:spacing w:before="480" w:after="0" w:line="240" w:lineRule="auto"/>
      <w:outlineLvl w:val="0"/>
    </w:pPr>
    <w:rPr>
      <w:rFonts w:asciiTheme="majorHAnsi" w:eastAsiaTheme="majorEastAsia" w:hAnsiTheme="majorHAnsi" w:cstheme="majorBidi"/>
      <w:b/>
      <w:bCs/>
      <w:color w:val="365F91" w:themeColor="accent1" w:themeShade="BF"/>
      <w:sz w:val="28"/>
      <w:szCs w:val="28"/>
      <w:bdr w:val="nil"/>
      <w:lang w:val="en-US"/>
    </w:rPr>
  </w:style>
  <w:style w:type="paragraph" w:styleId="Heading2">
    <w:name w:val="heading 2"/>
    <w:basedOn w:val="Normal"/>
    <w:next w:val="Normal"/>
    <w:link w:val="Heading2Char"/>
    <w:uiPriority w:val="9"/>
    <w:unhideWhenUsed/>
    <w:qFormat/>
    <w:rsid w:val="00BC76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C769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696"/>
    <w:rPr>
      <w:rFonts w:asciiTheme="majorHAnsi" w:eastAsiaTheme="majorEastAsia" w:hAnsiTheme="majorHAnsi" w:cstheme="majorBidi"/>
      <w:b/>
      <w:bCs/>
      <w:color w:val="365F91" w:themeColor="accent1" w:themeShade="BF"/>
      <w:sz w:val="28"/>
      <w:szCs w:val="28"/>
      <w:bdr w:val="nil"/>
      <w:lang w:val="en-US"/>
    </w:rPr>
  </w:style>
  <w:style w:type="table" w:styleId="TableGrid">
    <w:name w:val="Table Grid"/>
    <w:basedOn w:val="TableNormal"/>
    <w:uiPriority w:val="59"/>
    <w:rsid w:val="00BC7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7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696"/>
  </w:style>
  <w:style w:type="paragraph" w:styleId="Footer">
    <w:name w:val="footer"/>
    <w:basedOn w:val="Normal"/>
    <w:link w:val="FooterChar"/>
    <w:uiPriority w:val="99"/>
    <w:unhideWhenUsed/>
    <w:rsid w:val="00BC7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696"/>
  </w:style>
  <w:style w:type="character" w:customStyle="1" w:styleId="Heading2Char">
    <w:name w:val="Heading 2 Char"/>
    <w:basedOn w:val="DefaultParagraphFont"/>
    <w:link w:val="Heading2"/>
    <w:uiPriority w:val="9"/>
    <w:rsid w:val="00BC769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C7696"/>
    <w:rPr>
      <w:rFonts w:asciiTheme="majorHAnsi" w:eastAsiaTheme="majorEastAsia" w:hAnsiTheme="majorHAnsi" w:cstheme="majorBidi"/>
      <w:color w:val="243F60" w:themeColor="accent1" w:themeShade="7F"/>
      <w:sz w:val="24"/>
      <w:szCs w:val="24"/>
    </w:rPr>
  </w:style>
  <w:style w:type="paragraph" w:customStyle="1" w:styleId="Level1Text">
    <w:name w:val="Level 1 Text"/>
    <w:rsid w:val="00BC7696"/>
    <w:pPr>
      <w:keepLines/>
      <w:pBdr>
        <w:top w:val="nil"/>
        <w:left w:val="nil"/>
        <w:bottom w:val="nil"/>
        <w:right w:val="nil"/>
        <w:between w:val="nil"/>
        <w:bar w:val="nil"/>
      </w:pBdr>
      <w:spacing w:before="120" w:after="0" w:line="240" w:lineRule="auto"/>
      <w:ind w:left="567"/>
    </w:pPr>
    <w:rPr>
      <w:rFonts w:ascii="Arial" w:eastAsia="Arial Unicode MS" w:hAnsi="Arial Unicode MS" w:cs="Arial Unicode MS"/>
      <w:color w:val="000000"/>
      <w:u w:color="000000"/>
      <w:bdr w:val="nil"/>
      <w:lang w:val="en-US" w:eastAsia="en-GB"/>
    </w:rPr>
  </w:style>
  <w:style w:type="paragraph" w:customStyle="1" w:styleId="Level2Text">
    <w:name w:val="Level 2 Text"/>
    <w:rsid w:val="00BC7696"/>
    <w:pPr>
      <w:keepLines/>
      <w:pBdr>
        <w:top w:val="nil"/>
        <w:left w:val="nil"/>
        <w:bottom w:val="nil"/>
        <w:right w:val="nil"/>
        <w:between w:val="nil"/>
        <w:bar w:val="nil"/>
      </w:pBdr>
      <w:spacing w:before="120" w:after="0" w:line="240" w:lineRule="auto"/>
      <w:ind w:left="567"/>
    </w:pPr>
    <w:rPr>
      <w:rFonts w:ascii="Arial" w:eastAsia="Arial Unicode MS" w:hAnsi="Arial Unicode MS" w:cs="Arial Unicode MS"/>
      <w:color w:val="000000"/>
      <w:u w:color="000000"/>
      <w:bdr w:val="nil"/>
      <w:lang w:val="en-US" w:eastAsia="en-GB"/>
    </w:rPr>
  </w:style>
  <w:style w:type="paragraph" w:customStyle="1" w:styleId="Level1Bullet">
    <w:name w:val="Level 1 Bullet"/>
    <w:rsid w:val="00BC7696"/>
    <w:pPr>
      <w:keepLines/>
      <w:pBdr>
        <w:top w:val="nil"/>
        <w:left w:val="nil"/>
        <w:bottom w:val="nil"/>
        <w:right w:val="nil"/>
        <w:between w:val="nil"/>
        <w:bar w:val="nil"/>
      </w:pBdr>
      <w:tabs>
        <w:tab w:val="left" w:pos="1134"/>
      </w:tabs>
      <w:spacing w:before="120" w:after="0" w:line="240" w:lineRule="auto"/>
      <w:ind w:left="1134" w:hanging="567"/>
    </w:pPr>
    <w:rPr>
      <w:rFonts w:ascii="Arial" w:eastAsia="Arial Unicode MS" w:hAnsi="Arial Unicode MS" w:cs="Arial Unicode MS"/>
      <w:color w:val="000000"/>
      <w:sz w:val="20"/>
      <w:szCs w:val="20"/>
      <w:u w:color="000000"/>
      <w:bdr w:val="nil"/>
      <w:lang w:val="en-US" w:eastAsia="en-GB"/>
    </w:rPr>
  </w:style>
  <w:style w:type="paragraph" w:customStyle="1" w:styleId="Default">
    <w:name w:val="Default"/>
    <w:rsid w:val="00BC7696"/>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paragraph" w:styleId="CommentText">
    <w:name w:val="annotation text"/>
    <w:basedOn w:val="Normal"/>
    <w:link w:val="CommentTextChar"/>
    <w:uiPriority w:val="99"/>
    <w:unhideWhenUsed/>
    <w:rsid w:val="00BC769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rsid w:val="00BC7696"/>
    <w:rPr>
      <w:rFonts w:ascii="Times New Roman" w:eastAsia="Arial Unicode MS" w:hAnsi="Times New Roman" w:cs="Times New Roman"/>
      <w:sz w:val="20"/>
      <w:szCs w:val="20"/>
      <w:bdr w:val="nil"/>
      <w:lang w:val="en-US"/>
    </w:rPr>
  </w:style>
  <w:style w:type="paragraph" w:styleId="NormalWeb">
    <w:name w:val="Normal (Web)"/>
    <w:basedOn w:val="Normal"/>
    <w:uiPriority w:val="99"/>
    <w:unhideWhenUsed/>
    <w:rsid w:val="00BC769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link w:val="NoSpacingChar"/>
    <w:uiPriority w:val="1"/>
    <w:qFormat/>
    <w:rsid w:val="00BC7696"/>
    <w:pPr>
      <w:spacing w:after="0" w:line="240" w:lineRule="auto"/>
    </w:pPr>
    <w:rPr>
      <w:rFonts w:ascii="Calibri" w:eastAsia="Calibri" w:hAnsi="Calibri" w:cs="Times New Roman"/>
    </w:rPr>
  </w:style>
  <w:style w:type="character" w:styleId="Strong">
    <w:name w:val="Strong"/>
    <w:basedOn w:val="DefaultParagraphFont"/>
    <w:uiPriority w:val="22"/>
    <w:qFormat/>
    <w:rsid w:val="00BC7696"/>
    <w:rPr>
      <w:b/>
      <w:bCs/>
    </w:rPr>
  </w:style>
  <w:style w:type="paragraph" w:styleId="ListParagraph">
    <w:name w:val="List Paragraph"/>
    <w:basedOn w:val="Normal"/>
    <w:uiPriority w:val="34"/>
    <w:qFormat/>
    <w:rsid w:val="00BC7696"/>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character" w:customStyle="1" w:styleId="NoSpacingChar">
    <w:name w:val="No Spacing Char"/>
    <w:basedOn w:val="DefaultParagraphFont"/>
    <w:link w:val="NoSpacing"/>
    <w:uiPriority w:val="1"/>
    <w:rsid w:val="00BC7696"/>
    <w:rPr>
      <w:rFonts w:ascii="Calibri" w:eastAsia="Calibri" w:hAnsi="Calibri" w:cs="Times New Roman"/>
    </w:rPr>
  </w:style>
  <w:style w:type="character" w:styleId="Hyperlink">
    <w:name w:val="Hyperlink"/>
    <w:basedOn w:val="DefaultParagraphFont"/>
    <w:uiPriority w:val="99"/>
    <w:unhideWhenUsed/>
    <w:rsid w:val="008A3AAE"/>
    <w:rPr>
      <w:color w:val="0000FF" w:themeColor="hyperlink"/>
      <w:u w:val="single"/>
    </w:rPr>
  </w:style>
  <w:style w:type="character" w:styleId="UnresolvedMention">
    <w:name w:val="Unresolved Mention"/>
    <w:basedOn w:val="DefaultParagraphFont"/>
    <w:uiPriority w:val="99"/>
    <w:semiHidden/>
    <w:unhideWhenUsed/>
    <w:rsid w:val="008A3AAE"/>
    <w:rPr>
      <w:color w:val="605E5C"/>
      <w:shd w:val="clear" w:color="auto" w:fill="E1DFDD"/>
    </w:rPr>
  </w:style>
  <w:style w:type="paragraph" w:customStyle="1" w:styleId="BasicParagraph">
    <w:name w:val="[Basic Paragraph]"/>
    <w:basedOn w:val="Normal"/>
    <w:uiPriority w:val="99"/>
    <w:rsid w:val="00E271F0"/>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1859">
      <w:bodyDiv w:val="1"/>
      <w:marLeft w:val="0"/>
      <w:marRight w:val="0"/>
      <w:marTop w:val="0"/>
      <w:marBottom w:val="0"/>
      <w:divBdr>
        <w:top w:val="none" w:sz="0" w:space="0" w:color="auto"/>
        <w:left w:val="none" w:sz="0" w:space="0" w:color="auto"/>
        <w:bottom w:val="none" w:sz="0" w:space="0" w:color="auto"/>
        <w:right w:val="none" w:sz="0" w:space="0" w:color="auto"/>
      </w:divBdr>
      <w:divsChild>
        <w:div w:id="345406686">
          <w:marLeft w:val="0"/>
          <w:marRight w:val="0"/>
          <w:marTop w:val="0"/>
          <w:marBottom w:val="150"/>
          <w:divBdr>
            <w:top w:val="none" w:sz="0" w:space="0" w:color="auto"/>
            <w:left w:val="none" w:sz="0" w:space="0" w:color="auto"/>
            <w:bottom w:val="none" w:sz="0" w:space="0" w:color="auto"/>
            <w:right w:val="none" w:sz="0" w:space="0" w:color="auto"/>
          </w:divBdr>
        </w:div>
      </w:divsChild>
    </w:div>
    <w:div w:id="375742194">
      <w:bodyDiv w:val="1"/>
      <w:marLeft w:val="0"/>
      <w:marRight w:val="0"/>
      <w:marTop w:val="0"/>
      <w:marBottom w:val="0"/>
      <w:divBdr>
        <w:top w:val="none" w:sz="0" w:space="0" w:color="auto"/>
        <w:left w:val="none" w:sz="0" w:space="0" w:color="auto"/>
        <w:bottom w:val="none" w:sz="0" w:space="0" w:color="auto"/>
        <w:right w:val="none" w:sz="0" w:space="0" w:color="auto"/>
      </w:divBdr>
      <w:divsChild>
        <w:div w:id="263156061">
          <w:marLeft w:val="0"/>
          <w:marRight w:val="0"/>
          <w:marTop w:val="0"/>
          <w:marBottom w:val="150"/>
          <w:divBdr>
            <w:top w:val="none" w:sz="0" w:space="0" w:color="auto"/>
            <w:left w:val="none" w:sz="0" w:space="0" w:color="auto"/>
            <w:bottom w:val="none" w:sz="0" w:space="0" w:color="auto"/>
            <w:right w:val="none" w:sz="0" w:space="0" w:color="auto"/>
          </w:divBdr>
        </w:div>
      </w:divsChild>
    </w:div>
    <w:div w:id="1346907376">
      <w:bodyDiv w:val="1"/>
      <w:marLeft w:val="0"/>
      <w:marRight w:val="0"/>
      <w:marTop w:val="0"/>
      <w:marBottom w:val="0"/>
      <w:divBdr>
        <w:top w:val="none" w:sz="0" w:space="0" w:color="auto"/>
        <w:left w:val="none" w:sz="0" w:space="0" w:color="auto"/>
        <w:bottom w:val="none" w:sz="0" w:space="0" w:color="auto"/>
        <w:right w:val="none" w:sz="0" w:space="0" w:color="auto"/>
      </w:divBdr>
      <w:divsChild>
        <w:div w:id="126700787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care-act-statutory-guidance/care-and-support-statutory-guidance"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england.nhs.uk/who-pays/" TargetMode="External"/><Relationship Id="rId2" Type="http://schemas.openxmlformats.org/officeDocument/2006/relationships/numbering" Target="numbering.xml"/><Relationship Id="rId16" Type="http://schemas.openxmlformats.org/officeDocument/2006/relationships/hyperlink" Target="https://www.nhs.uk/choiceintheNHS/Rightsandpledges/Waitingtimes/Documents/nhs-england-and-ccg-regulation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who-pays/" TargetMode="External"/><Relationship Id="rId5" Type="http://schemas.openxmlformats.org/officeDocument/2006/relationships/webSettings" Target="webSettings.xml"/><Relationship Id="rId15" Type="http://schemas.openxmlformats.org/officeDocument/2006/relationships/hyperlink" Target="https://assets.publishing.service.go.uk/government/uploads/system/uploads/attachement_data/file/746063/20181001_National_Framework_for_CHC_and_FNC_October_2018_Revised.pdf" TargetMode="External"/><Relationship Id="rId10" Type="http://schemas.openxmlformats.org/officeDocument/2006/relationships/image" Target="cid:image001.jpg@01D833A8.36FF8F70" TargetMode="External"/><Relationship Id="rId19"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egislation.gov.uk/ukpga/2014/23/contents/enacte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E78E1-9AF2-451E-B91D-B310A2D4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4300</Words>
  <Characters>24513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Tracey (NHS LINCOLNSHIRE CCG)</dc:creator>
  <cp:keywords/>
  <dc:description/>
  <cp:lastModifiedBy>Laura Orton</cp:lastModifiedBy>
  <cp:revision>2</cp:revision>
  <dcterms:created xsi:type="dcterms:W3CDTF">2022-08-12T12:21:00Z</dcterms:created>
  <dcterms:modified xsi:type="dcterms:W3CDTF">2022-08-12T12:21:00Z</dcterms:modified>
</cp:coreProperties>
</file>