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31B910D5" w:rsidR="00DE7B7B" w:rsidRPr="00071918" w:rsidRDefault="00725A5D"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Financial Considersations Regarding</w:t>
                            </w:r>
                            <w:r w:rsidR="004C192C">
                              <w:rPr>
                                <w:rFonts w:ascii="Calibri" w:hAnsi="Calibri"/>
                                <w:b/>
                                <w:noProof/>
                                <w:color w:val="000000" w:themeColor="text1"/>
                                <w:sz w:val="52"/>
                                <w:szCs w:val="52"/>
                              </w:rPr>
                              <w:t>:</w:t>
                            </w:r>
                            <w:r>
                              <w:rPr>
                                <w:rFonts w:ascii="Calibri" w:hAnsi="Calibri"/>
                                <w:b/>
                                <w:noProof/>
                                <w:color w:val="000000" w:themeColor="text1"/>
                                <w:sz w:val="52"/>
                                <w:szCs w:val="52"/>
                              </w:rPr>
                              <w:t xml:space="preserve"> Non-Residential Care</w:t>
                            </w:r>
                          </w:p>
                          <w:p w14:paraId="48D8E3B5" w14:textId="0D0E3E54"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5B3B48">
                              <w:rPr>
                                <w:rFonts w:asciiTheme="majorHAnsi" w:hAnsiTheme="majorHAnsi"/>
                                <w:noProof/>
                                <w:color w:val="000000" w:themeColor="text1"/>
                                <w:sz w:val="36"/>
                                <w:szCs w:val="36"/>
                              </w:rPr>
                              <w:t>.</w:t>
                            </w:r>
                            <w:r w:rsidR="00AD476D">
                              <w:rPr>
                                <w:rFonts w:asciiTheme="majorHAnsi" w:hAnsiTheme="majorHAnsi"/>
                                <w:noProof/>
                                <w:color w:val="000000" w:themeColor="text1"/>
                                <w:sz w:val="36"/>
                                <w:szCs w:val="36"/>
                              </w:rPr>
                              <w:t xml:space="preserve"> </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3403D5EF" w:rsidR="00DE7B7B" w:rsidRPr="00310AF9" w:rsidRDefault="00F75D65"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28/09/2022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31B910D5" w:rsidR="00DE7B7B" w:rsidRPr="00071918" w:rsidRDefault="00725A5D"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Financial Considersations Regarding</w:t>
                      </w:r>
                      <w:r w:rsidR="004C192C">
                        <w:rPr>
                          <w:rFonts w:ascii="Calibri" w:hAnsi="Calibri"/>
                          <w:b/>
                          <w:noProof/>
                          <w:color w:val="000000" w:themeColor="text1"/>
                          <w:sz w:val="52"/>
                          <w:szCs w:val="52"/>
                        </w:rPr>
                        <w:t>:</w:t>
                      </w:r>
                      <w:r>
                        <w:rPr>
                          <w:rFonts w:ascii="Calibri" w:hAnsi="Calibri"/>
                          <w:b/>
                          <w:noProof/>
                          <w:color w:val="000000" w:themeColor="text1"/>
                          <w:sz w:val="52"/>
                          <w:szCs w:val="52"/>
                        </w:rPr>
                        <w:t xml:space="preserve"> Non-Residential Care</w:t>
                      </w:r>
                    </w:p>
                    <w:p w14:paraId="48D8E3B5" w14:textId="0D0E3E54"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5B3B48">
                        <w:rPr>
                          <w:rFonts w:asciiTheme="majorHAnsi" w:hAnsiTheme="majorHAnsi"/>
                          <w:noProof/>
                          <w:color w:val="000000" w:themeColor="text1"/>
                          <w:sz w:val="36"/>
                          <w:szCs w:val="36"/>
                        </w:rPr>
                        <w:t>.</w:t>
                      </w:r>
                      <w:r w:rsidR="00AD476D">
                        <w:rPr>
                          <w:rFonts w:asciiTheme="majorHAnsi" w:hAnsiTheme="majorHAnsi"/>
                          <w:noProof/>
                          <w:color w:val="000000" w:themeColor="text1"/>
                          <w:sz w:val="36"/>
                          <w:szCs w:val="36"/>
                        </w:rPr>
                        <w:t xml:space="preserve"> </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3403D5EF" w:rsidR="00DE7B7B" w:rsidRPr="00310AF9" w:rsidRDefault="00F75D65"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28/09/2022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v:textbox>
                <w10:wrap type="square"/>
              </v:shape>
            </w:pict>
          </mc:Fallback>
        </mc:AlternateContent>
      </w:r>
    </w:p>
    <w:p w14:paraId="2E59F95D" w14:textId="77777777" w:rsidR="007A4CA7" w:rsidRPr="007A4CA7" w:rsidRDefault="007A4CA7" w:rsidP="007A4CA7">
      <w:pPr>
        <w:spacing w:after="0" w:line="240" w:lineRule="auto"/>
        <w:rPr>
          <w:rFonts w:ascii="Calibri" w:eastAsia="Times New Roman" w:hAnsi="Calibri" w:cs="Arial"/>
          <w:sz w:val="24"/>
          <w:szCs w:val="24"/>
          <w:shd w:val="clear" w:color="auto" w:fill="FFFFFF"/>
        </w:rPr>
      </w:pP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1E7BB5EE" w14:textId="0AF0644F" w:rsidR="00F21993" w:rsidRDefault="0000441A">
          <w:pPr>
            <w:pStyle w:val="TOC1"/>
            <w:tabs>
              <w:tab w:val="right" w:leader="dot" w:pos="9054"/>
            </w:tabs>
            <w:rPr>
              <w:rFonts w:eastAsiaTheme="minorEastAsia"/>
              <w:noProof/>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25465450" w:history="1">
            <w:r w:rsidR="00F21993" w:rsidRPr="006F76DD">
              <w:rPr>
                <w:rStyle w:val="Hyperlink"/>
                <w:b/>
                <w:bCs/>
                <w:noProof/>
                <w:shd w:val="clear" w:color="auto" w:fill="FFFFFF"/>
              </w:rPr>
              <w:t>KEY POINTS</w:t>
            </w:r>
            <w:r w:rsidR="00F21993">
              <w:rPr>
                <w:noProof/>
                <w:webHidden/>
              </w:rPr>
              <w:tab/>
            </w:r>
            <w:r w:rsidR="00F21993">
              <w:rPr>
                <w:noProof/>
                <w:webHidden/>
              </w:rPr>
              <w:fldChar w:fldCharType="begin"/>
            </w:r>
            <w:r w:rsidR="00F21993">
              <w:rPr>
                <w:noProof/>
                <w:webHidden/>
              </w:rPr>
              <w:instrText xml:space="preserve"> PAGEREF _Toc125465450 \h </w:instrText>
            </w:r>
            <w:r w:rsidR="00F21993">
              <w:rPr>
                <w:noProof/>
                <w:webHidden/>
              </w:rPr>
            </w:r>
            <w:r w:rsidR="00F21993">
              <w:rPr>
                <w:noProof/>
                <w:webHidden/>
              </w:rPr>
              <w:fldChar w:fldCharType="separate"/>
            </w:r>
            <w:r w:rsidR="00F21993">
              <w:rPr>
                <w:noProof/>
                <w:webHidden/>
              </w:rPr>
              <w:t>2</w:t>
            </w:r>
            <w:r w:rsidR="00F21993">
              <w:rPr>
                <w:noProof/>
                <w:webHidden/>
              </w:rPr>
              <w:fldChar w:fldCharType="end"/>
            </w:r>
          </w:hyperlink>
        </w:p>
        <w:p w14:paraId="0AFF2143" w14:textId="77D6E932" w:rsidR="00F21993" w:rsidRDefault="00F21993">
          <w:pPr>
            <w:pStyle w:val="TOC1"/>
            <w:tabs>
              <w:tab w:val="right" w:leader="dot" w:pos="9054"/>
            </w:tabs>
            <w:rPr>
              <w:rFonts w:eastAsiaTheme="minorEastAsia"/>
              <w:noProof/>
              <w:lang w:eastAsia="en-GB"/>
            </w:rPr>
          </w:pPr>
          <w:hyperlink w:anchor="_Toc125465451" w:history="1">
            <w:r w:rsidRPr="006F76DD">
              <w:rPr>
                <w:rStyle w:val="Hyperlink"/>
                <w:b/>
                <w:bCs/>
                <w:noProof/>
              </w:rPr>
              <w:t>Introduction</w:t>
            </w:r>
            <w:r>
              <w:rPr>
                <w:noProof/>
                <w:webHidden/>
              </w:rPr>
              <w:tab/>
            </w:r>
            <w:r>
              <w:rPr>
                <w:noProof/>
                <w:webHidden/>
              </w:rPr>
              <w:fldChar w:fldCharType="begin"/>
            </w:r>
            <w:r>
              <w:rPr>
                <w:noProof/>
                <w:webHidden/>
              </w:rPr>
              <w:instrText xml:space="preserve"> PAGEREF _Toc125465451 \h </w:instrText>
            </w:r>
            <w:r>
              <w:rPr>
                <w:noProof/>
                <w:webHidden/>
              </w:rPr>
            </w:r>
            <w:r>
              <w:rPr>
                <w:noProof/>
                <w:webHidden/>
              </w:rPr>
              <w:fldChar w:fldCharType="separate"/>
            </w:r>
            <w:r>
              <w:rPr>
                <w:noProof/>
                <w:webHidden/>
              </w:rPr>
              <w:t>3</w:t>
            </w:r>
            <w:r>
              <w:rPr>
                <w:noProof/>
                <w:webHidden/>
              </w:rPr>
              <w:fldChar w:fldCharType="end"/>
            </w:r>
          </w:hyperlink>
        </w:p>
        <w:p w14:paraId="78ABCAD9" w14:textId="67F96469" w:rsidR="00F21993" w:rsidRDefault="00F21993">
          <w:pPr>
            <w:pStyle w:val="TOC1"/>
            <w:tabs>
              <w:tab w:val="right" w:leader="dot" w:pos="9054"/>
            </w:tabs>
            <w:rPr>
              <w:rFonts w:eastAsiaTheme="minorEastAsia"/>
              <w:noProof/>
              <w:lang w:eastAsia="en-GB"/>
            </w:rPr>
          </w:pPr>
          <w:hyperlink w:anchor="_Toc125465452" w:history="1">
            <w:r w:rsidRPr="006F76DD">
              <w:rPr>
                <w:rStyle w:val="Hyperlink"/>
                <w:b/>
                <w:bCs/>
                <w:noProof/>
              </w:rPr>
              <w:t>Charging for Community Care</w:t>
            </w:r>
            <w:r>
              <w:rPr>
                <w:noProof/>
                <w:webHidden/>
              </w:rPr>
              <w:tab/>
            </w:r>
            <w:r>
              <w:rPr>
                <w:noProof/>
                <w:webHidden/>
              </w:rPr>
              <w:fldChar w:fldCharType="begin"/>
            </w:r>
            <w:r>
              <w:rPr>
                <w:noProof/>
                <w:webHidden/>
              </w:rPr>
              <w:instrText xml:space="preserve"> PAGEREF _Toc125465452 \h </w:instrText>
            </w:r>
            <w:r>
              <w:rPr>
                <w:noProof/>
                <w:webHidden/>
              </w:rPr>
            </w:r>
            <w:r>
              <w:rPr>
                <w:noProof/>
                <w:webHidden/>
              </w:rPr>
              <w:fldChar w:fldCharType="separate"/>
            </w:r>
            <w:r>
              <w:rPr>
                <w:noProof/>
                <w:webHidden/>
              </w:rPr>
              <w:t>3</w:t>
            </w:r>
            <w:r>
              <w:rPr>
                <w:noProof/>
                <w:webHidden/>
              </w:rPr>
              <w:fldChar w:fldCharType="end"/>
            </w:r>
          </w:hyperlink>
        </w:p>
        <w:p w14:paraId="7191D9EB" w14:textId="797E9318" w:rsidR="00F21993" w:rsidRDefault="00F21993">
          <w:pPr>
            <w:pStyle w:val="TOC1"/>
            <w:tabs>
              <w:tab w:val="right" w:leader="dot" w:pos="9054"/>
            </w:tabs>
            <w:rPr>
              <w:rFonts w:eastAsiaTheme="minorEastAsia"/>
              <w:noProof/>
              <w:lang w:eastAsia="en-GB"/>
            </w:rPr>
          </w:pPr>
          <w:hyperlink w:anchor="_Toc125465453" w:history="1">
            <w:r w:rsidRPr="006F76DD">
              <w:rPr>
                <w:rStyle w:val="Hyperlink"/>
                <w:b/>
                <w:bCs/>
                <w:noProof/>
              </w:rPr>
              <w:t>Adult Charging Waiver Policy</w:t>
            </w:r>
            <w:r>
              <w:rPr>
                <w:noProof/>
                <w:webHidden/>
              </w:rPr>
              <w:tab/>
            </w:r>
            <w:r>
              <w:rPr>
                <w:noProof/>
                <w:webHidden/>
              </w:rPr>
              <w:fldChar w:fldCharType="begin"/>
            </w:r>
            <w:r>
              <w:rPr>
                <w:noProof/>
                <w:webHidden/>
              </w:rPr>
              <w:instrText xml:space="preserve"> PAGEREF _Toc125465453 \h </w:instrText>
            </w:r>
            <w:r>
              <w:rPr>
                <w:noProof/>
                <w:webHidden/>
              </w:rPr>
            </w:r>
            <w:r>
              <w:rPr>
                <w:noProof/>
                <w:webHidden/>
              </w:rPr>
              <w:fldChar w:fldCharType="separate"/>
            </w:r>
            <w:r>
              <w:rPr>
                <w:noProof/>
                <w:webHidden/>
              </w:rPr>
              <w:t>4</w:t>
            </w:r>
            <w:r>
              <w:rPr>
                <w:noProof/>
                <w:webHidden/>
              </w:rPr>
              <w:fldChar w:fldCharType="end"/>
            </w:r>
          </w:hyperlink>
        </w:p>
        <w:p w14:paraId="03620C94" w14:textId="1DCBC495" w:rsidR="00F21993" w:rsidRDefault="00F21993">
          <w:pPr>
            <w:pStyle w:val="TOC1"/>
            <w:tabs>
              <w:tab w:val="right" w:leader="dot" w:pos="9054"/>
            </w:tabs>
            <w:rPr>
              <w:rFonts w:eastAsiaTheme="minorEastAsia"/>
              <w:noProof/>
              <w:lang w:eastAsia="en-GB"/>
            </w:rPr>
          </w:pPr>
          <w:hyperlink w:anchor="_Toc125465454" w:history="1">
            <w:r w:rsidRPr="006F76DD">
              <w:rPr>
                <w:rStyle w:val="Hyperlink"/>
                <w:b/>
                <w:bCs/>
                <w:noProof/>
              </w:rPr>
              <w:t>Disability Related Expenditure Allowance</w:t>
            </w:r>
            <w:r>
              <w:rPr>
                <w:noProof/>
                <w:webHidden/>
              </w:rPr>
              <w:tab/>
            </w:r>
            <w:r>
              <w:rPr>
                <w:noProof/>
                <w:webHidden/>
              </w:rPr>
              <w:fldChar w:fldCharType="begin"/>
            </w:r>
            <w:r>
              <w:rPr>
                <w:noProof/>
                <w:webHidden/>
              </w:rPr>
              <w:instrText xml:space="preserve"> PAGEREF _Toc125465454 \h </w:instrText>
            </w:r>
            <w:r>
              <w:rPr>
                <w:noProof/>
                <w:webHidden/>
              </w:rPr>
            </w:r>
            <w:r>
              <w:rPr>
                <w:noProof/>
                <w:webHidden/>
              </w:rPr>
              <w:fldChar w:fldCharType="separate"/>
            </w:r>
            <w:r>
              <w:rPr>
                <w:noProof/>
                <w:webHidden/>
              </w:rPr>
              <w:t>4</w:t>
            </w:r>
            <w:r>
              <w:rPr>
                <w:noProof/>
                <w:webHidden/>
              </w:rPr>
              <w:fldChar w:fldCharType="end"/>
            </w:r>
          </w:hyperlink>
        </w:p>
        <w:p w14:paraId="63893526" w14:textId="3F8E35EC" w:rsidR="00F21993" w:rsidRDefault="00F21993">
          <w:pPr>
            <w:pStyle w:val="TOC1"/>
            <w:tabs>
              <w:tab w:val="right" w:leader="dot" w:pos="9054"/>
            </w:tabs>
            <w:rPr>
              <w:rFonts w:eastAsiaTheme="minorEastAsia"/>
              <w:noProof/>
              <w:lang w:eastAsia="en-GB"/>
            </w:rPr>
          </w:pPr>
          <w:hyperlink w:anchor="_Toc125465455" w:history="1">
            <w:r w:rsidRPr="006F76DD">
              <w:rPr>
                <w:rStyle w:val="Hyperlink"/>
                <w:b/>
                <w:bCs/>
                <w:noProof/>
              </w:rPr>
              <w:t>Cancelled Care and Refunded Cancelled Care</w:t>
            </w:r>
            <w:r>
              <w:rPr>
                <w:noProof/>
                <w:webHidden/>
              </w:rPr>
              <w:tab/>
            </w:r>
            <w:r>
              <w:rPr>
                <w:noProof/>
                <w:webHidden/>
              </w:rPr>
              <w:fldChar w:fldCharType="begin"/>
            </w:r>
            <w:r>
              <w:rPr>
                <w:noProof/>
                <w:webHidden/>
              </w:rPr>
              <w:instrText xml:space="preserve"> PAGEREF _Toc125465455 \h </w:instrText>
            </w:r>
            <w:r>
              <w:rPr>
                <w:noProof/>
                <w:webHidden/>
              </w:rPr>
            </w:r>
            <w:r>
              <w:rPr>
                <w:noProof/>
                <w:webHidden/>
              </w:rPr>
              <w:fldChar w:fldCharType="separate"/>
            </w:r>
            <w:r>
              <w:rPr>
                <w:noProof/>
                <w:webHidden/>
              </w:rPr>
              <w:t>5</w:t>
            </w:r>
            <w:r>
              <w:rPr>
                <w:noProof/>
                <w:webHidden/>
              </w:rPr>
              <w:fldChar w:fldCharType="end"/>
            </w:r>
          </w:hyperlink>
        </w:p>
        <w:p w14:paraId="21C8D32A" w14:textId="6E66FCF6" w:rsidR="00F21993" w:rsidRDefault="00F21993">
          <w:pPr>
            <w:pStyle w:val="TOC1"/>
            <w:tabs>
              <w:tab w:val="right" w:leader="dot" w:pos="9054"/>
            </w:tabs>
            <w:rPr>
              <w:rFonts w:eastAsiaTheme="minorEastAsia"/>
              <w:noProof/>
              <w:lang w:eastAsia="en-GB"/>
            </w:rPr>
          </w:pPr>
          <w:hyperlink w:anchor="_Toc125465456" w:history="1">
            <w:r w:rsidRPr="006F76DD">
              <w:rPr>
                <w:rStyle w:val="Hyperlink"/>
                <w:b/>
                <w:bCs/>
                <w:noProof/>
              </w:rPr>
              <w:t>Direct Payments</w:t>
            </w:r>
            <w:r>
              <w:rPr>
                <w:noProof/>
                <w:webHidden/>
              </w:rPr>
              <w:tab/>
            </w:r>
            <w:r>
              <w:rPr>
                <w:noProof/>
                <w:webHidden/>
              </w:rPr>
              <w:fldChar w:fldCharType="begin"/>
            </w:r>
            <w:r>
              <w:rPr>
                <w:noProof/>
                <w:webHidden/>
              </w:rPr>
              <w:instrText xml:space="preserve"> PAGEREF _Toc125465456 \h </w:instrText>
            </w:r>
            <w:r>
              <w:rPr>
                <w:noProof/>
                <w:webHidden/>
              </w:rPr>
            </w:r>
            <w:r>
              <w:rPr>
                <w:noProof/>
                <w:webHidden/>
              </w:rPr>
              <w:fldChar w:fldCharType="separate"/>
            </w:r>
            <w:r>
              <w:rPr>
                <w:noProof/>
                <w:webHidden/>
              </w:rPr>
              <w:t>6</w:t>
            </w:r>
            <w:r>
              <w:rPr>
                <w:noProof/>
                <w:webHidden/>
              </w:rPr>
              <w:fldChar w:fldCharType="end"/>
            </w:r>
          </w:hyperlink>
        </w:p>
        <w:p w14:paraId="145D23D7" w14:textId="3059BC5D"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7E3DA58D" w14:textId="77777777" w:rsidR="00F232B2" w:rsidRDefault="00F232B2">
      <w:pPr>
        <w:spacing w:after="0" w:line="240" w:lineRule="auto"/>
        <w:rPr>
          <w:rFonts w:ascii="Calibri" w:eastAsia="Times New Roman" w:hAnsi="Calibri" w:cs="Arial"/>
          <w:sz w:val="40"/>
          <w:szCs w:val="40"/>
          <w:shd w:val="clear" w:color="auto" w:fill="FFFFFF"/>
        </w:rPr>
      </w:pPr>
      <w:r>
        <w:rPr>
          <w:rFonts w:ascii="Calibri" w:eastAsia="Times New Roman" w:hAnsi="Calibri" w:cs="Arial"/>
          <w:sz w:val="40"/>
          <w:szCs w:val="40"/>
          <w:shd w:val="clear" w:color="auto" w:fill="FFFFFF"/>
        </w:rPr>
        <w:br w:type="page"/>
      </w:r>
    </w:p>
    <w:p w14:paraId="3F220359" w14:textId="3E953C78" w:rsidR="00F232B2" w:rsidRPr="00F232B2" w:rsidRDefault="00F232B2" w:rsidP="00F232B2">
      <w:pPr>
        <w:pStyle w:val="Heading1"/>
        <w:rPr>
          <w:b/>
          <w:bCs/>
          <w:color w:val="auto"/>
          <w:shd w:val="clear" w:color="auto" w:fill="FFFFFF"/>
        </w:rPr>
      </w:pPr>
      <w:bookmarkStart w:id="0" w:name="_Toc125465450"/>
      <w:r w:rsidRPr="00F232B2">
        <w:rPr>
          <w:b/>
          <w:bCs/>
          <w:color w:val="auto"/>
          <w:shd w:val="clear" w:color="auto" w:fill="FFFFFF"/>
        </w:rPr>
        <w:lastRenderedPageBreak/>
        <w:t>KEY POINTS</w:t>
      </w:r>
      <w:bookmarkEnd w:id="0"/>
    </w:p>
    <w:p w14:paraId="16E747A0" w14:textId="77777777" w:rsidR="00F232B2" w:rsidRPr="00C37A85" w:rsidRDefault="00F232B2" w:rsidP="00F232B2">
      <w:pPr>
        <w:spacing w:after="0" w:line="240" w:lineRule="auto"/>
        <w:rPr>
          <w:rFonts w:ascii="Calibri" w:eastAsia="Times New Roman" w:hAnsi="Calibri" w:cs="Arial"/>
          <w:sz w:val="24"/>
          <w:szCs w:val="24"/>
          <w:shd w:val="clear" w:color="auto" w:fill="FFFFFF"/>
        </w:rPr>
      </w:pPr>
    </w:p>
    <w:p w14:paraId="41B373E1" w14:textId="77777777" w:rsidR="00F232B2" w:rsidRPr="004C192C" w:rsidRDefault="00F232B2" w:rsidP="00F232B2">
      <w:pPr>
        <w:numPr>
          <w:ilvl w:val="0"/>
          <w:numId w:val="11"/>
        </w:numPr>
        <w:spacing w:after="0" w:line="240" w:lineRule="auto"/>
        <w:rPr>
          <w:rFonts w:ascii="Calibri" w:eastAsia="Times New Roman" w:hAnsi="Calibri" w:cs="Arial"/>
          <w:sz w:val="24"/>
          <w:szCs w:val="24"/>
          <w:shd w:val="clear" w:color="auto" w:fill="FFFFFF"/>
        </w:rPr>
      </w:pPr>
      <w:r w:rsidRPr="004C192C">
        <w:rPr>
          <w:rFonts w:ascii="Calibri" w:eastAsia="Times New Roman" w:hAnsi="Calibri" w:cs="Arial"/>
          <w:sz w:val="24"/>
          <w:szCs w:val="24"/>
          <w:shd w:val="clear" w:color="auto" w:fill="FFFFFF"/>
        </w:rPr>
        <w:t>Advise the person and / or representative of the financial implications</w:t>
      </w:r>
      <w:r>
        <w:rPr>
          <w:rFonts w:ascii="Calibri" w:eastAsia="Times New Roman" w:hAnsi="Calibri" w:cs="Arial"/>
          <w:sz w:val="24"/>
          <w:szCs w:val="24"/>
          <w:shd w:val="clear" w:color="auto" w:fill="FFFFFF"/>
        </w:rPr>
        <w:t xml:space="preserve"> of their care &amp; support</w:t>
      </w:r>
      <w:r w:rsidRPr="004C192C">
        <w:rPr>
          <w:rFonts w:ascii="Calibri" w:eastAsia="Times New Roman" w:hAnsi="Calibri" w:cs="Arial"/>
          <w:sz w:val="24"/>
          <w:szCs w:val="24"/>
          <w:shd w:val="clear" w:color="auto" w:fill="FFFFFF"/>
        </w:rPr>
        <w:t>. Ensure co-operation with the individual and their families, making sure they have the relevant advice and information.</w:t>
      </w:r>
      <w:r>
        <w:rPr>
          <w:rFonts w:ascii="Calibri" w:eastAsia="Times New Roman" w:hAnsi="Calibri" w:cs="Arial"/>
          <w:sz w:val="24"/>
          <w:szCs w:val="24"/>
          <w:shd w:val="clear" w:color="auto" w:fill="FFFFFF"/>
        </w:rPr>
        <w:t xml:space="preserve"> </w:t>
      </w:r>
    </w:p>
    <w:p w14:paraId="1C7165C4" w14:textId="77777777" w:rsidR="00F232B2" w:rsidRDefault="00F232B2" w:rsidP="00F232B2">
      <w:pPr>
        <w:spacing w:after="0" w:line="240" w:lineRule="auto"/>
        <w:ind w:left="720"/>
        <w:rPr>
          <w:rFonts w:ascii="Calibri" w:eastAsia="Times New Roman" w:hAnsi="Calibri" w:cs="Arial"/>
          <w:sz w:val="24"/>
          <w:szCs w:val="24"/>
          <w:shd w:val="clear" w:color="auto" w:fill="FFFFFF"/>
        </w:rPr>
      </w:pPr>
    </w:p>
    <w:p w14:paraId="4559E0AD" w14:textId="77777777" w:rsidR="00F232B2" w:rsidRPr="004C192C" w:rsidRDefault="00F232B2" w:rsidP="00F232B2">
      <w:pPr>
        <w:numPr>
          <w:ilvl w:val="0"/>
          <w:numId w:val="11"/>
        </w:numPr>
        <w:spacing w:after="0" w:line="240" w:lineRule="auto"/>
        <w:rPr>
          <w:rFonts w:ascii="Calibri" w:eastAsia="Times New Roman" w:hAnsi="Calibri" w:cs="Arial"/>
          <w:sz w:val="24"/>
          <w:szCs w:val="24"/>
          <w:shd w:val="clear" w:color="auto" w:fill="FFFFFF"/>
        </w:rPr>
      </w:pPr>
      <w:r w:rsidRPr="004C192C">
        <w:rPr>
          <w:rFonts w:ascii="Calibri" w:eastAsia="Times New Roman" w:hAnsi="Calibri" w:cs="Arial"/>
          <w:sz w:val="24"/>
          <w:szCs w:val="24"/>
          <w:shd w:val="clear" w:color="auto" w:fill="FFFFFF"/>
        </w:rPr>
        <w:t>Send out the financial assessment form at the earliest possible point and complete the Financial Assessment Referral.</w:t>
      </w:r>
    </w:p>
    <w:p w14:paraId="240D29D6" w14:textId="77777777" w:rsidR="00F232B2" w:rsidRDefault="00F232B2" w:rsidP="00F232B2">
      <w:pPr>
        <w:spacing w:after="0" w:line="240" w:lineRule="auto"/>
        <w:ind w:left="720"/>
        <w:rPr>
          <w:rFonts w:ascii="Calibri" w:eastAsia="Times New Roman" w:hAnsi="Calibri" w:cs="Arial"/>
          <w:sz w:val="24"/>
          <w:szCs w:val="24"/>
          <w:shd w:val="clear" w:color="auto" w:fill="FFFFFF"/>
        </w:rPr>
      </w:pPr>
    </w:p>
    <w:p w14:paraId="280ABA2E" w14:textId="77777777" w:rsidR="00F232B2" w:rsidRPr="004C192C" w:rsidRDefault="00F232B2" w:rsidP="00F232B2">
      <w:pPr>
        <w:numPr>
          <w:ilvl w:val="0"/>
          <w:numId w:val="11"/>
        </w:numPr>
        <w:spacing w:after="0" w:line="240" w:lineRule="auto"/>
        <w:rPr>
          <w:rFonts w:ascii="Calibri" w:eastAsia="Times New Roman" w:hAnsi="Calibri" w:cs="Arial"/>
          <w:sz w:val="24"/>
          <w:szCs w:val="24"/>
          <w:shd w:val="clear" w:color="auto" w:fill="FFFFFF"/>
        </w:rPr>
      </w:pPr>
      <w:r w:rsidRPr="004C192C">
        <w:rPr>
          <w:rFonts w:ascii="Calibri" w:eastAsia="Times New Roman" w:hAnsi="Calibri" w:cs="Arial"/>
          <w:sz w:val="24"/>
          <w:szCs w:val="24"/>
          <w:shd w:val="clear" w:color="auto" w:fill="FFFFFF"/>
        </w:rPr>
        <w:t>Detail all actions / discussions on the customer’s record</w:t>
      </w:r>
      <w:r>
        <w:rPr>
          <w:rFonts w:ascii="Calibri" w:eastAsia="Times New Roman" w:hAnsi="Calibri" w:cs="Arial"/>
          <w:sz w:val="24"/>
          <w:szCs w:val="24"/>
          <w:shd w:val="clear" w:color="auto" w:fill="FFFFFF"/>
        </w:rPr>
        <w:t xml:space="preserve"> and follow up any complex conversations in written form and send to the customer along with relevant factsheets.</w:t>
      </w: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1A3F2FC2" w14:textId="13A91EDC" w:rsidR="005C273F" w:rsidRPr="008A4C4F" w:rsidRDefault="00856C8B" w:rsidP="00DA1562">
      <w:pPr>
        <w:pStyle w:val="Heading1"/>
        <w:spacing w:before="0"/>
        <w:rPr>
          <w:b/>
          <w:bCs/>
          <w:color w:val="auto"/>
        </w:rPr>
      </w:pPr>
      <w:bookmarkStart w:id="1" w:name="_Toc125465451"/>
      <w:r>
        <w:rPr>
          <w:b/>
          <w:bCs/>
          <w:color w:val="auto"/>
        </w:rPr>
        <w:lastRenderedPageBreak/>
        <w:t>Introduction</w:t>
      </w:r>
      <w:bookmarkEnd w:id="1"/>
    </w:p>
    <w:p w14:paraId="0F9A9422" w14:textId="18B658CB" w:rsidR="005463CC" w:rsidRPr="005463CC" w:rsidRDefault="005463CC" w:rsidP="005463CC">
      <w:p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This section should be read along with the</w:t>
      </w:r>
      <w:r w:rsidR="00EE2C08">
        <w:rPr>
          <w:rFonts w:ascii="Calibri" w:eastAsia="Times New Roman" w:hAnsi="Calibri" w:cs="Arial"/>
          <w:sz w:val="24"/>
          <w:szCs w:val="24"/>
          <w:shd w:val="clear" w:color="auto" w:fill="FFFFFF"/>
        </w:rPr>
        <w:t xml:space="preserve"> </w:t>
      </w:r>
      <w:hyperlink r:id="rId13" w:history="1">
        <w:r w:rsidR="00EE2C08" w:rsidRPr="00EE2C08">
          <w:rPr>
            <w:rStyle w:val="Hyperlink"/>
            <w:rFonts w:ascii="Calibri" w:eastAsia="Times New Roman" w:hAnsi="Calibri" w:cs="Arial"/>
            <w:sz w:val="24"/>
            <w:szCs w:val="24"/>
            <w:shd w:val="clear" w:color="auto" w:fill="FFFFFF"/>
          </w:rPr>
          <w:t>Adult Ch</w:t>
        </w:r>
        <w:r w:rsidR="00EE2C08" w:rsidRPr="00EE2C08">
          <w:rPr>
            <w:rStyle w:val="Hyperlink"/>
            <w:rFonts w:ascii="Calibri" w:eastAsia="Times New Roman" w:hAnsi="Calibri" w:cs="Arial"/>
            <w:sz w:val="24"/>
            <w:szCs w:val="24"/>
            <w:shd w:val="clear" w:color="auto" w:fill="FFFFFF"/>
          </w:rPr>
          <w:t>a</w:t>
        </w:r>
        <w:r w:rsidR="00EE2C08" w:rsidRPr="00EE2C08">
          <w:rPr>
            <w:rStyle w:val="Hyperlink"/>
            <w:rFonts w:ascii="Calibri" w:eastAsia="Times New Roman" w:hAnsi="Calibri" w:cs="Arial"/>
            <w:sz w:val="24"/>
            <w:szCs w:val="24"/>
            <w:shd w:val="clear" w:color="auto" w:fill="FFFFFF"/>
          </w:rPr>
          <w:t>rging Policy</w:t>
        </w:r>
      </w:hyperlink>
      <w:r w:rsidR="00EE2C08">
        <w:rPr>
          <w:rFonts w:ascii="Calibri" w:eastAsia="Times New Roman" w:hAnsi="Calibri" w:cs="Arial"/>
          <w:sz w:val="24"/>
          <w:szCs w:val="24"/>
          <w:shd w:val="clear" w:color="auto" w:fill="FFFFFF"/>
        </w:rPr>
        <w:t>.</w:t>
      </w:r>
    </w:p>
    <w:p w14:paraId="7D2D05D8" w14:textId="77777777" w:rsidR="00ED681D" w:rsidRDefault="00ED681D" w:rsidP="005463CC">
      <w:pPr>
        <w:spacing w:after="0" w:line="300" w:lineRule="exact"/>
        <w:rPr>
          <w:rFonts w:ascii="Calibri" w:eastAsia="Times New Roman" w:hAnsi="Calibri" w:cs="Arial"/>
          <w:sz w:val="24"/>
          <w:szCs w:val="24"/>
          <w:shd w:val="clear" w:color="auto" w:fill="FFFFFF"/>
        </w:rPr>
      </w:pPr>
    </w:p>
    <w:p w14:paraId="38318E41" w14:textId="1438812A" w:rsidR="005463CC" w:rsidRDefault="005463CC" w:rsidP="005463CC">
      <w:p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All contributions to non-residential care (community care) are being assessed in accordance with the Non-residential Adult Care Contributions Policy.</w:t>
      </w:r>
    </w:p>
    <w:p w14:paraId="56BFEAB8" w14:textId="77777777" w:rsidR="00F232B2" w:rsidRPr="005463CC" w:rsidRDefault="00F232B2" w:rsidP="005463CC">
      <w:pPr>
        <w:spacing w:after="0" w:line="300" w:lineRule="exact"/>
        <w:rPr>
          <w:rFonts w:ascii="Calibri" w:eastAsia="Times New Roman" w:hAnsi="Calibri" w:cs="Arial"/>
          <w:sz w:val="24"/>
          <w:szCs w:val="24"/>
          <w:shd w:val="clear" w:color="auto" w:fill="FFFFFF"/>
        </w:rPr>
      </w:pPr>
    </w:p>
    <w:p w14:paraId="602B2C67" w14:textId="77777777" w:rsidR="005463CC" w:rsidRPr="005463CC" w:rsidRDefault="005463CC" w:rsidP="005463CC">
      <w:p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Community care refers to </w:t>
      </w:r>
      <w:proofErr w:type="gramStart"/>
      <w:r w:rsidRPr="005463CC">
        <w:rPr>
          <w:rFonts w:ascii="Calibri" w:eastAsia="Times New Roman" w:hAnsi="Calibri" w:cs="Arial"/>
          <w:sz w:val="24"/>
          <w:szCs w:val="24"/>
          <w:shd w:val="clear" w:color="auto" w:fill="FFFFFF"/>
        </w:rPr>
        <w:t>care</w:t>
      </w:r>
      <w:proofErr w:type="gramEnd"/>
      <w:r w:rsidRPr="005463CC">
        <w:rPr>
          <w:rFonts w:ascii="Calibri" w:eastAsia="Times New Roman" w:hAnsi="Calibri" w:cs="Arial"/>
          <w:sz w:val="24"/>
          <w:szCs w:val="24"/>
          <w:shd w:val="clear" w:color="auto" w:fill="FFFFFF"/>
        </w:rPr>
        <w:t xml:space="preserve"> and support received in the home, and other adult social care services provided in the community, outside of a care home. There are many different types of services.</w:t>
      </w:r>
    </w:p>
    <w:p w14:paraId="11317837" w14:textId="77777777" w:rsidR="00EE2C08" w:rsidRDefault="00EE2C08" w:rsidP="005463CC">
      <w:pPr>
        <w:spacing w:after="0" w:line="300" w:lineRule="exact"/>
        <w:rPr>
          <w:rFonts w:ascii="Calibri" w:eastAsia="Times New Roman" w:hAnsi="Calibri" w:cs="Arial"/>
          <w:sz w:val="24"/>
          <w:szCs w:val="24"/>
          <w:shd w:val="clear" w:color="auto" w:fill="FFFFFF"/>
        </w:rPr>
      </w:pPr>
    </w:p>
    <w:p w14:paraId="73534E9F" w14:textId="26792948" w:rsidR="005463CC" w:rsidRPr="005463CC" w:rsidRDefault="005463CC" w:rsidP="005463CC">
      <w:p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These services include, but are not limited to:</w:t>
      </w:r>
    </w:p>
    <w:p w14:paraId="5DFC167B"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home care (care in your own home</w:t>
      </w:r>
      <w:proofErr w:type="gramStart"/>
      <w:r w:rsidRPr="005463CC">
        <w:rPr>
          <w:rFonts w:ascii="Calibri" w:eastAsia="Times New Roman" w:hAnsi="Calibri" w:cs="Arial"/>
          <w:sz w:val="24"/>
          <w:szCs w:val="24"/>
          <w:shd w:val="clear" w:color="auto" w:fill="FFFFFF"/>
        </w:rPr>
        <w:t>);</w:t>
      </w:r>
      <w:proofErr w:type="gramEnd"/>
    </w:p>
    <w:p w14:paraId="2AF75C1B"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specialist autism </w:t>
      </w:r>
      <w:proofErr w:type="gramStart"/>
      <w:r w:rsidRPr="005463CC">
        <w:rPr>
          <w:rFonts w:ascii="Calibri" w:eastAsia="Times New Roman" w:hAnsi="Calibri" w:cs="Arial"/>
          <w:sz w:val="24"/>
          <w:szCs w:val="24"/>
          <w:shd w:val="clear" w:color="auto" w:fill="FFFFFF"/>
        </w:rPr>
        <w:t>services;</w:t>
      </w:r>
      <w:proofErr w:type="gramEnd"/>
    </w:p>
    <w:p w14:paraId="6E952F1A"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day </w:t>
      </w:r>
      <w:proofErr w:type="gramStart"/>
      <w:r w:rsidRPr="005463CC">
        <w:rPr>
          <w:rFonts w:ascii="Calibri" w:eastAsia="Times New Roman" w:hAnsi="Calibri" w:cs="Arial"/>
          <w:sz w:val="24"/>
          <w:szCs w:val="24"/>
          <w:shd w:val="clear" w:color="auto" w:fill="FFFFFF"/>
        </w:rPr>
        <w:t>opportunities;</w:t>
      </w:r>
      <w:proofErr w:type="gramEnd"/>
    </w:p>
    <w:p w14:paraId="6C3CFA98"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community </w:t>
      </w:r>
      <w:proofErr w:type="gramStart"/>
      <w:r w:rsidRPr="005463CC">
        <w:rPr>
          <w:rFonts w:ascii="Calibri" w:eastAsia="Times New Roman" w:hAnsi="Calibri" w:cs="Arial"/>
          <w:sz w:val="24"/>
          <w:szCs w:val="24"/>
          <w:shd w:val="clear" w:color="auto" w:fill="FFFFFF"/>
        </w:rPr>
        <w:t>support;</w:t>
      </w:r>
      <w:proofErr w:type="gramEnd"/>
    </w:p>
    <w:p w14:paraId="7A6686B0"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transport to </w:t>
      </w:r>
      <w:proofErr w:type="gramStart"/>
      <w:r w:rsidRPr="005463CC">
        <w:rPr>
          <w:rFonts w:ascii="Calibri" w:eastAsia="Times New Roman" w:hAnsi="Calibri" w:cs="Arial"/>
          <w:sz w:val="24"/>
          <w:szCs w:val="24"/>
          <w:shd w:val="clear" w:color="auto" w:fill="FFFFFF"/>
        </w:rPr>
        <w:t>services;</w:t>
      </w:r>
      <w:proofErr w:type="gramEnd"/>
    </w:p>
    <w:p w14:paraId="4A49F650"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supported </w:t>
      </w:r>
      <w:proofErr w:type="gramStart"/>
      <w:r w:rsidRPr="005463CC">
        <w:rPr>
          <w:rFonts w:ascii="Calibri" w:eastAsia="Times New Roman" w:hAnsi="Calibri" w:cs="Arial"/>
          <w:sz w:val="24"/>
          <w:szCs w:val="24"/>
          <w:shd w:val="clear" w:color="auto" w:fill="FFFFFF"/>
        </w:rPr>
        <w:t>living;</w:t>
      </w:r>
      <w:proofErr w:type="gramEnd"/>
    </w:p>
    <w:p w14:paraId="127B35F4" w14:textId="425FAF2A"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BC2C1B">
        <w:rPr>
          <w:rFonts w:ascii="Calibri" w:eastAsia="Times New Roman" w:hAnsi="Calibri" w:cs="Arial"/>
          <w:sz w:val="24"/>
          <w:szCs w:val="24"/>
          <w:shd w:val="clear" w:color="auto" w:fill="FFFFFF"/>
        </w:rPr>
        <w:t>telecare</w:t>
      </w:r>
      <w:r w:rsidRPr="005463CC">
        <w:rPr>
          <w:rFonts w:ascii="Calibri" w:eastAsia="Times New Roman" w:hAnsi="Calibri" w:cs="Arial"/>
          <w:sz w:val="24"/>
          <w:szCs w:val="24"/>
          <w:shd w:val="clear" w:color="auto" w:fill="FFFFFF"/>
        </w:rPr>
        <w:t xml:space="preserve"> and pendant </w:t>
      </w:r>
      <w:proofErr w:type="gramStart"/>
      <w:r w:rsidRPr="005463CC">
        <w:rPr>
          <w:rFonts w:ascii="Calibri" w:eastAsia="Times New Roman" w:hAnsi="Calibri" w:cs="Arial"/>
          <w:sz w:val="24"/>
          <w:szCs w:val="24"/>
          <w:shd w:val="clear" w:color="auto" w:fill="FFFFFF"/>
        </w:rPr>
        <w:t>alarm;</w:t>
      </w:r>
      <w:proofErr w:type="gramEnd"/>
    </w:p>
    <w:p w14:paraId="1BD191C8"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shared lives </w:t>
      </w:r>
      <w:proofErr w:type="gramStart"/>
      <w:r w:rsidRPr="005463CC">
        <w:rPr>
          <w:rFonts w:ascii="Calibri" w:eastAsia="Times New Roman" w:hAnsi="Calibri" w:cs="Arial"/>
          <w:sz w:val="24"/>
          <w:szCs w:val="24"/>
          <w:shd w:val="clear" w:color="auto" w:fill="FFFFFF"/>
        </w:rPr>
        <w:t>services;</w:t>
      </w:r>
      <w:proofErr w:type="gramEnd"/>
    </w:p>
    <w:p w14:paraId="51D26BB7"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mental health day </w:t>
      </w:r>
      <w:proofErr w:type="gramStart"/>
      <w:r w:rsidRPr="005463CC">
        <w:rPr>
          <w:rFonts w:ascii="Calibri" w:eastAsia="Times New Roman" w:hAnsi="Calibri" w:cs="Arial"/>
          <w:sz w:val="24"/>
          <w:szCs w:val="24"/>
          <w:shd w:val="clear" w:color="auto" w:fill="FFFFFF"/>
        </w:rPr>
        <w:t>services;</w:t>
      </w:r>
      <w:proofErr w:type="gramEnd"/>
    </w:p>
    <w:p w14:paraId="107B1EF4"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mental health housing support </w:t>
      </w:r>
      <w:proofErr w:type="gramStart"/>
      <w:r w:rsidRPr="005463CC">
        <w:rPr>
          <w:rFonts w:ascii="Calibri" w:eastAsia="Times New Roman" w:hAnsi="Calibri" w:cs="Arial"/>
          <w:sz w:val="24"/>
          <w:szCs w:val="24"/>
          <w:shd w:val="clear" w:color="auto" w:fill="FFFFFF"/>
        </w:rPr>
        <w:t>services;</w:t>
      </w:r>
      <w:proofErr w:type="gramEnd"/>
    </w:p>
    <w:p w14:paraId="5E5F3774" w14:textId="77777777" w:rsidR="005463CC" w:rsidRPr="005463CC" w:rsidRDefault="005463CC" w:rsidP="005463CC">
      <w:pPr>
        <w:numPr>
          <w:ilvl w:val="0"/>
          <w:numId w:val="21"/>
        </w:numPr>
        <w:spacing w:after="0" w:line="300" w:lineRule="exact"/>
        <w:rPr>
          <w:rFonts w:ascii="Calibri" w:eastAsia="Times New Roman" w:hAnsi="Calibri" w:cs="Arial"/>
          <w:sz w:val="24"/>
          <w:szCs w:val="24"/>
          <w:shd w:val="clear" w:color="auto" w:fill="FFFFFF"/>
        </w:rPr>
      </w:pPr>
      <w:r w:rsidRPr="005463CC">
        <w:rPr>
          <w:rFonts w:ascii="Calibri" w:eastAsia="Times New Roman" w:hAnsi="Calibri" w:cs="Arial"/>
          <w:sz w:val="24"/>
          <w:szCs w:val="24"/>
          <w:shd w:val="clear" w:color="auto" w:fill="FFFFFF"/>
        </w:rPr>
        <w:t xml:space="preserve">other services you may purchase directly </w:t>
      </w:r>
      <w:proofErr w:type="gramStart"/>
      <w:r w:rsidRPr="005463CC">
        <w:rPr>
          <w:rFonts w:ascii="Calibri" w:eastAsia="Times New Roman" w:hAnsi="Calibri" w:cs="Arial"/>
          <w:sz w:val="24"/>
          <w:szCs w:val="24"/>
          <w:shd w:val="clear" w:color="auto" w:fill="FFFFFF"/>
        </w:rPr>
        <w:t>e.g.</w:t>
      </w:r>
      <w:proofErr w:type="gramEnd"/>
      <w:r w:rsidRPr="005463CC">
        <w:rPr>
          <w:rFonts w:ascii="Calibri" w:eastAsia="Times New Roman" w:hAnsi="Calibri" w:cs="Arial"/>
          <w:sz w:val="24"/>
          <w:szCs w:val="24"/>
          <w:shd w:val="clear" w:color="auto" w:fill="FFFFFF"/>
        </w:rPr>
        <w:t xml:space="preserve"> personal assistant.</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42164677" w:rsidR="00C45ABA" w:rsidRPr="001C5B63" w:rsidRDefault="00BF0A86" w:rsidP="00DA1562">
      <w:pPr>
        <w:pStyle w:val="Heading1"/>
        <w:spacing w:before="0"/>
        <w:rPr>
          <w:b/>
          <w:bCs/>
          <w:color w:val="auto"/>
        </w:rPr>
      </w:pPr>
      <w:bookmarkStart w:id="2" w:name="_Toc125465452"/>
      <w:r>
        <w:rPr>
          <w:b/>
          <w:bCs/>
          <w:color w:val="auto"/>
        </w:rPr>
        <w:t>Charging for Community Care</w:t>
      </w:r>
      <w:bookmarkEnd w:id="2"/>
    </w:p>
    <w:p w14:paraId="1B81B895" w14:textId="77777777" w:rsidR="00EE2C08" w:rsidRDefault="00EE2C08" w:rsidP="00BF0A86">
      <w:pPr>
        <w:spacing w:after="0" w:line="300" w:lineRule="exact"/>
        <w:rPr>
          <w:rFonts w:ascii="Calibri" w:eastAsia="Times New Roman" w:hAnsi="Calibri" w:cs="Arial"/>
          <w:b/>
          <w:bCs/>
          <w:sz w:val="24"/>
          <w:szCs w:val="24"/>
          <w:shd w:val="clear" w:color="auto" w:fill="FFFFFF"/>
        </w:rPr>
      </w:pPr>
    </w:p>
    <w:p w14:paraId="068DDA96" w14:textId="31DD8D47" w:rsidR="00BF0A86" w:rsidRPr="00BF0A86" w:rsidRDefault="00BF0A86" w:rsidP="00BF0A86">
      <w:pPr>
        <w:spacing w:after="0" w:line="300" w:lineRule="exact"/>
        <w:rPr>
          <w:rFonts w:ascii="Calibri" w:eastAsia="Times New Roman" w:hAnsi="Calibri" w:cs="Arial"/>
          <w:b/>
          <w:bCs/>
          <w:sz w:val="24"/>
          <w:szCs w:val="24"/>
          <w:shd w:val="clear" w:color="auto" w:fill="FFFFFF"/>
        </w:rPr>
      </w:pPr>
      <w:r w:rsidRPr="00BF0A86">
        <w:rPr>
          <w:rFonts w:ascii="Calibri" w:eastAsia="Times New Roman" w:hAnsi="Calibri" w:cs="Arial"/>
          <w:b/>
          <w:bCs/>
          <w:sz w:val="24"/>
          <w:szCs w:val="24"/>
          <w:shd w:val="clear" w:color="auto" w:fill="FFFFFF"/>
        </w:rPr>
        <w:t>2.1 Property</w:t>
      </w:r>
    </w:p>
    <w:p w14:paraId="0B075435" w14:textId="2BAA820A"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The person’s home, the primary home they live in, is not </w:t>
      </w:r>
      <w:proofErr w:type="gramStart"/>
      <w:r w:rsidRPr="00BF0A86">
        <w:rPr>
          <w:rFonts w:ascii="Calibri" w:eastAsia="Times New Roman" w:hAnsi="Calibri" w:cs="Arial"/>
          <w:sz w:val="24"/>
          <w:szCs w:val="24"/>
          <w:shd w:val="clear" w:color="auto" w:fill="FFFFFF"/>
        </w:rPr>
        <w:t>taken into account</w:t>
      </w:r>
      <w:proofErr w:type="gramEnd"/>
      <w:r w:rsidRPr="00BF0A86">
        <w:rPr>
          <w:rFonts w:ascii="Calibri" w:eastAsia="Times New Roman" w:hAnsi="Calibri" w:cs="Arial"/>
          <w:sz w:val="24"/>
          <w:szCs w:val="24"/>
          <w:shd w:val="clear" w:color="auto" w:fill="FFFFFF"/>
        </w:rPr>
        <w:t xml:space="preserve"> during the financial assessment if they are receiving community services. However, any other land/property they own will be included as capital.</w:t>
      </w:r>
    </w:p>
    <w:p w14:paraId="52874D3A" w14:textId="77777777" w:rsidR="00EE2C08" w:rsidRDefault="00EE2C08" w:rsidP="00BF0A86">
      <w:pPr>
        <w:spacing w:after="0" w:line="300" w:lineRule="exact"/>
        <w:rPr>
          <w:rFonts w:ascii="Calibri" w:eastAsia="Times New Roman" w:hAnsi="Calibri" w:cs="Arial"/>
          <w:b/>
          <w:bCs/>
          <w:sz w:val="24"/>
          <w:szCs w:val="24"/>
          <w:shd w:val="clear" w:color="auto" w:fill="FFFFFF"/>
        </w:rPr>
      </w:pPr>
    </w:p>
    <w:p w14:paraId="33363312" w14:textId="5A92F329" w:rsidR="00BF0A86" w:rsidRPr="00BF0A86" w:rsidRDefault="00BF0A86" w:rsidP="00BF0A86">
      <w:pPr>
        <w:spacing w:after="0" w:line="300" w:lineRule="exact"/>
        <w:rPr>
          <w:rFonts w:ascii="Calibri" w:eastAsia="Times New Roman" w:hAnsi="Calibri" w:cs="Arial"/>
          <w:b/>
          <w:bCs/>
          <w:sz w:val="24"/>
          <w:szCs w:val="24"/>
          <w:shd w:val="clear" w:color="auto" w:fill="FFFFFF"/>
        </w:rPr>
      </w:pPr>
      <w:r w:rsidRPr="00BF0A86">
        <w:rPr>
          <w:rFonts w:ascii="Calibri" w:eastAsia="Times New Roman" w:hAnsi="Calibri" w:cs="Arial"/>
          <w:b/>
          <w:bCs/>
          <w:sz w:val="24"/>
          <w:szCs w:val="24"/>
          <w:shd w:val="clear" w:color="auto" w:fill="FFFFFF"/>
        </w:rPr>
        <w:t>2.2 Minimum Income Guarantee (MIG)</w:t>
      </w:r>
    </w:p>
    <w:p w14:paraId="41520DC2" w14:textId="35EC3842"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Before any charges are made for their care</w:t>
      </w:r>
      <w:r w:rsidR="00D37028">
        <w:rPr>
          <w:rFonts w:ascii="Calibri" w:eastAsia="Times New Roman" w:hAnsi="Calibri" w:cs="Arial"/>
          <w:sz w:val="24"/>
          <w:szCs w:val="24"/>
          <w:shd w:val="clear" w:color="auto" w:fill="FFFFFF"/>
        </w:rPr>
        <w:t xml:space="preserve">, </w:t>
      </w:r>
      <w:r w:rsidRPr="00BF0A86">
        <w:rPr>
          <w:rFonts w:ascii="Calibri" w:eastAsia="Times New Roman" w:hAnsi="Calibri" w:cs="Arial"/>
          <w:sz w:val="24"/>
          <w:szCs w:val="24"/>
          <w:shd w:val="clear" w:color="auto" w:fill="FFFFFF"/>
        </w:rPr>
        <w:t xml:space="preserve">the council will ensure that the person’s income is not reduced below a specified </w:t>
      </w:r>
      <w:proofErr w:type="gramStart"/>
      <w:r w:rsidRPr="00BF0A86">
        <w:rPr>
          <w:rFonts w:ascii="Calibri" w:eastAsia="Times New Roman" w:hAnsi="Calibri" w:cs="Arial"/>
          <w:sz w:val="24"/>
          <w:szCs w:val="24"/>
          <w:shd w:val="clear" w:color="auto" w:fill="FFFFFF"/>
        </w:rPr>
        <w:t>level</w:t>
      </w:r>
      <w:proofErr w:type="gramEnd"/>
      <w:r w:rsidRPr="00BF0A86">
        <w:rPr>
          <w:rFonts w:ascii="Calibri" w:eastAsia="Times New Roman" w:hAnsi="Calibri" w:cs="Arial"/>
          <w:sz w:val="24"/>
          <w:szCs w:val="24"/>
          <w:shd w:val="clear" w:color="auto" w:fill="FFFFFF"/>
        </w:rPr>
        <w:t xml:space="preserve"> so they are able to keep enough of their income for their essential living costs such as food, utility costs and insurance. This amount is set and reviewed annually in Local Authority Circulars by the Department of Health and Social Care; it is also reproduced in our Annual Statement. This amount is known as the Minimum Income Guarantee (MIG), and varies depending on age, disability, relationship status and how many dependent children are living with the person.</w:t>
      </w:r>
    </w:p>
    <w:p w14:paraId="364D6DD1" w14:textId="77777777" w:rsidR="00355AC9" w:rsidRDefault="00355AC9" w:rsidP="00BF0A86">
      <w:pPr>
        <w:spacing w:after="0" w:line="300" w:lineRule="exact"/>
        <w:rPr>
          <w:rFonts w:ascii="Calibri" w:eastAsia="Times New Roman" w:hAnsi="Calibri" w:cs="Arial"/>
          <w:sz w:val="24"/>
          <w:szCs w:val="24"/>
          <w:shd w:val="clear" w:color="auto" w:fill="FFFFFF"/>
        </w:rPr>
      </w:pPr>
    </w:p>
    <w:p w14:paraId="03E6AB9D" w14:textId="1487BC3F"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In addition to the Minimum Income Guarantee, further allowance will be made for other expenses such as:</w:t>
      </w:r>
    </w:p>
    <w:p w14:paraId="43525B3C" w14:textId="77777777" w:rsidR="00BF0A86" w:rsidRPr="00BF0A86" w:rsidRDefault="00BF0A86" w:rsidP="00BF0A86">
      <w:pPr>
        <w:numPr>
          <w:ilvl w:val="0"/>
          <w:numId w:val="22"/>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rent not covered by housing </w:t>
      </w:r>
      <w:proofErr w:type="gramStart"/>
      <w:r w:rsidRPr="00BF0A86">
        <w:rPr>
          <w:rFonts w:ascii="Calibri" w:eastAsia="Times New Roman" w:hAnsi="Calibri" w:cs="Arial"/>
          <w:sz w:val="24"/>
          <w:szCs w:val="24"/>
          <w:shd w:val="clear" w:color="auto" w:fill="FFFFFF"/>
        </w:rPr>
        <w:t>benefit;</w:t>
      </w:r>
      <w:proofErr w:type="gramEnd"/>
    </w:p>
    <w:p w14:paraId="4982E549" w14:textId="77777777" w:rsidR="00BF0A86" w:rsidRPr="00BF0A86" w:rsidRDefault="00BF0A86" w:rsidP="00BF0A86">
      <w:pPr>
        <w:numPr>
          <w:ilvl w:val="0"/>
          <w:numId w:val="22"/>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Council Tax not covered by Council Tax </w:t>
      </w:r>
      <w:proofErr w:type="gramStart"/>
      <w:r w:rsidRPr="00BF0A86">
        <w:rPr>
          <w:rFonts w:ascii="Calibri" w:eastAsia="Times New Roman" w:hAnsi="Calibri" w:cs="Arial"/>
          <w:sz w:val="24"/>
          <w:szCs w:val="24"/>
          <w:shd w:val="clear" w:color="auto" w:fill="FFFFFF"/>
        </w:rPr>
        <w:t>Reduction;</w:t>
      </w:r>
      <w:proofErr w:type="gramEnd"/>
    </w:p>
    <w:p w14:paraId="3DA30F37" w14:textId="77777777" w:rsidR="00BF0A86" w:rsidRPr="00BF0A86" w:rsidRDefault="00BF0A86" w:rsidP="00BF0A86">
      <w:pPr>
        <w:numPr>
          <w:ilvl w:val="0"/>
          <w:numId w:val="22"/>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mortgages and </w:t>
      </w:r>
      <w:proofErr w:type="gramStart"/>
      <w:r w:rsidRPr="00BF0A86">
        <w:rPr>
          <w:rFonts w:ascii="Calibri" w:eastAsia="Times New Roman" w:hAnsi="Calibri" w:cs="Arial"/>
          <w:sz w:val="24"/>
          <w:szCs w:val="24"/>
          <w:shd w:val="clear" w:color="auto" w:fill="FFFFFF"/>
        </w:rPr>
        <w:t>endowments;</w:t>
      </w:r>
      <w:proofErr w:type="gramEnd"/>
    </w:p>
    <w:p w14:paraId="338B87D3" w14:textId="77777777" w:rsidR="00BF0A86" w:rsidRPr="00BF0A86" w:rsidRDefault="00BF0A86" w:rsidP="00BF0A86">
      <w:pPr>
        <w:numPr>
          <w:ilvl w:val="0"/>
          <w:numId w:val="22"/>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service charges not covered by housing benefit.</w:t>
      </w:r>
    </w:p>
    <w:p w14:paraId="259F5E9D" w14:textId="6DFD6E85" w:rsidR="00355AC9" w:rsidRDefault="00355AC9" w:rsidP="00BF0A86">
      <w:pPr>
        <w:spacing w:after="0" w:line="300" w:lineRule="exact"/>
        <w:rPr>
          <w:rFonts w:ascii="Calibri" w:eastAsia="Times New Roman" w:hAnsi="Calibri" w:cs="Arial"/>
          <w:b/>
          <w:bCs/>
          <w:sz w:val="24"/>
          <w:szCs w:val="24"/>
          <w:shd w:val="clear" w:color="auto" w:fill="FFFFFF"/>
        </w:rPr>
      </w:pPr>
    </w:p>
    <w:p w14:paraId="2E85DB14" w14:textId="77777777" w:rsidR="00355AC9" w:rsidRDefault="00355AC9" w:rsidP="00BF0A86">
      <w:pPr>
        <w:spacing w:after="0" w:line="300" w:lineRule="exact"/>
        <w:rPr>
          <w:rFonts w:ascii="Calibri" w:eastAsia="Times New Roman" w:hAnsi="Calibri" w:cs="Arial"/>
          <w:b/>
          <w:bCs/>
          <w:sz w:val="24"/>
          <w:szCs w:val="24"/>
          <w:shd w:val="clear" w:color="auto" w:fill="FFFFFF"/>
        </w:rPr>
      </w:pPr>
    </w:p>
    <w:p w14:paraId="0AE67123" w14:textId="537AB5DA" w:rsidR="00BF0A86" w:rsidRPr="00BF0A86" w:rsidRDefault="00BF0A86" w:rsidP="00BF0A86">
      <w:pPr>
        <w:spacing w:after="0" w:line="300" w:lineRule="exact"/>
        <w:rPr>
          <w:rFonts w:ascii="Calibri" w:eastAsia="Times New Roman" w:hAnsi="Calibri" w:cs="Arial"/>
          <w:b/>
          <w:bCs/>
          <w:sz w:val="24"/>
          <w:szCs w:val="24"/>
          <w:shd w:val="clear" w:color="auto" w:fill="FFFFFF"/>
        </w:rPr>
      </w:pPr>
      <w:r w:rsidRPr="00BF0A86">
        <w:rPr>
          <w:rFonts w:ascii="Calibri" w:eastAsia="Times New Roman" w:hAnsi="Calibri" w:cs="Arial"/>
          <w:b/>
          <w:bCs/>
          <w:sz w:val="24"/>
          <w:szCs w:val="24"/>
          <w:shd w:val="clear" w:color="auto" w:fill="FFFFFF"/>
        </w:rPr>
        <w:t>2.3 Household costs / bills</w:t>
      </w:r>
    </w:p>
    <w:p w14:paraId="458F0A21" w14:textId="77777777"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The person will be asked about where they live and their regular housing costs. These include:</w:t>
      </w:r>
    </w:p>
    <w:p w14:paraId="1B847998" w14:textId="77777777" w:rsidR="00BF0A86" w:rsidRPr="00BF0A86" w:rsidRDefault="00BF0A86" w:rsidP="00BF0A86">
      <w:pPr>
        <w:numPr>
          <w:ilvl w:val="0"/>
          <w:numId w:val="23"/>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rent – not met by housing benefit and under a formal tenancy </w:t>
      </w:r>
      <w:proofErr w:type="gramStart"/>
      <w:r w:rsidRPr="00BF0A86">
        <w:rPr>
          <w:rFonts w:ascii="Calibri" w:eastAsia="Times New Roman" w:hAnsi="Calibri" w:cs="Arial"/>
          <w:sz w:val="24"/>
          <w:szCs w:val="24"/>
          <w:shd w:val="clear" w:color="auto" w:fill="FFFFFF"/>
        </w:rPr>
        <w:t>agreement;</w:t>
      </w:r>
      <w:proofErr w:type="gramEnd"/>
    </w:p>
    <w:p w14:paraId="44397B62" w14:textId="77777777" w:rsidR="00BF0A86" w:rsidRPr="00BF0A86" w:rsidRDefault="00BF0A86" w:rsidP="00BF0A86">
      <w:pPr>
        <w:numPr>
          <w:ilvl w:val="0"/>
          <w:numId w:val="23"/>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mortgage – not met by DWP </w:t>
      </w:r>
      <w:proofErr w:type="gramStart"/>
      <w:r w:rsidRPr="00BF0A86">
        <w:rPr>
          <w:rFonts w:ascii="Calibri" w:eastAsia="Times New Roman" w:hAnsi="Calibri" w:cs="Arial"/>
          <w:sz w:val="24"/>
          <w:szCs w:val="24"/>
          <w:shd w:val="clear" w:color="auto" w:fill="FFFFFF"/>
        </w:rPr>
        <w:t>loan;</w:t>
      </w:r>
      <w:proofErr w:type="gramEnd"/>
    </w:p>
    <w:p w14:paraId="6C3F3D29" w14:textId="77777777" w:rsidR="00BF0A86" w:rsidRPr="00BF0A86" w:rsidRDefault="00BF0A86" w:rsidP="00BF0A86">
      <w:pPr>
        <w:numPr>
          <w:ilvl w:val="0"/>
          <w:numId w:val="23"/>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service charges – not covered by housing </w:t>
      </w:r>
      <w:proofErr w:type="gramStart"/>
      <w:r w:rsidRPr="00BF0A86">
        <w:rPr>
          <w:rFonts w:ascii="Calibri" w:eastAsia="Times New Roman" w:hAnsi="Calibri" w:cs="Arial"/>
          <w:sz w:val="24"/>
          <w:szCs w:val="24"/>
          <w:shd w:val="clear" w:color="auto" w:fill="FFFFFF"/>
        </w:rPr>
        <w:t>benefit;</w:t>
      </w:r>
      <w:proofErr w:type="gramEnd"/>
    </w:p>
    <w:p w14:paraId="511A3093" w14:textId="77777777" w:rsidR="00BF0A86" w:rsidRPr="00BF0A86" w:rsidRDefault="00BF0A86" w:rsidP="00BF0A86">
      <w:pPr>
        <w:numPr>
          <w:ilvl w:val="0"/>
          <w:numId w:val="23"/>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Council Tax – not met by Council Tax </w:t>
      </w:r>
      <w:proofErr w:type="gramStart"/>
      <w:r w:rsidRPr="00BF0A86">
        <w:rPr>
          <w:rFonts w:ascii="Calibri" w:eastAsia="Times New Roman" w:hAnsi="Calibri" w:cs="Arial"/>
          <w:sz w:val="24"/>
          <w:szCs w:val="24"/>
          <w:shd w:val="clear" w:color="auto" w:fill="FFFFFF"/>
        </w:rPr>
        <w:t>Benefit;</w:t>
      </w:r>
      <w:proofErr w:type="gramEnd"/>
    </w:p>
    <w:p w14:paraId="74C659C8" w14:textId="77777777" w:rsidR="00BF0A86" w:rsidRPr="00BF0A86" w:rsidRDefault="00BF0A86" w:rsidP="00BF0A86">
      <w:pPr>
        <w:numPr>
          <w:ilvl w:val="0"/>
          <w:numId w:val="23"/>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buildings insurance.</w:t>
      </w:r>
    </w:p>
    <w:p w14:paraId="0840EBF3" w14:textId="77777777" w:rsidR="00355AC9" w:rsidRDefault="00355AC9" w:rsidP="00BF0A86">
      <w:pPr>
        <w:spacing w:after="0" w:line="300" w:lineRule="exact"/>
        <w:rPr>
          <w:rFonts w:ascii="Calibri" w:eastAsia="Times New Roman" w:hAnsi="Calibri" w:cs="Arial"/>
          <w:sz w:val="24"/>
          <w:szCs w:val="24"/>
          <w:shd w:val="clear" w:color="auto" w:fill="FFFFFF"/>
        </w:rPr>
      </w:pPr>
    </w:p>
    <w:p w14:paraId="786F3A73" w14:textId="6032645B"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They should also tell us about any other regular expenses including compulsory payments for example court ordered payments.</w:t>
      </w:r>
    </w:p>
    <w:p w14:paraId="05D7B1FE" w14:textId="77777777" w:rsidR="00355AC9" w:rsidRDefault="00355AC9" w:rsidP="00BF0A86">
      <w:pPr>
        <w:spacing w:after="0" w:line="300" w:lineRule="exact"/>
        <w:rPr>
          <w:rFonts w:ascii="Calibri" w:eastAsia="Times New Roman" w:hAnsi="Calibri" w:cs="Arial"/>
          <w:b/>
          <w:bCs/>
          <w:sz w:val="24"/>
          <w:szCs w:val="24"/>
          <w:shd w:val="clear" w:color="auto" w:fill="FFFFFF"/>
        </w:rPr>
      </w:pPr>
    </w:p>
    <w:p w14:paraId="5E224416" w14:textId="3DA88A8A" w:rsidR="00BF0A86" w:rsidRPr="00BF0A86" w:rsidRDefault="00BF0A86" w:rsidP="00BF0A86">
      <w:pPr>
        <w:spacing w:after="0" w:line="300" w:lineRule="exact"/>
        <w:rPr>
          <w:rFonts w:ascii="Calibri" w:eastAsia="Times New Roman" w:hAnsi="Calibri" w:cs="Arial"/>
          <w:b/>
          <w:bCs/>
          <w:sz w:val="24"/>
          <w:szCs w:val="24"/>
          <w:shd w:val="clear" w:color="auto" w:fill="FFFFFF"/>
        </w:rPr>
      </w:pPr>
      <w:r w:rsidRPr="00BF0A86">
        <w:rPr>
          <w:rFonts w:ascii="Calibri" w:eastAsia="Times New Roman" w:hAnsi="Calibri" w:cs="Arial"/>
          <w:b/>
          <w:bCs/>
          <w:sz w:val="24"/>
          <w:szCs w:val="24"/>
          <w:shd w:val="clear" w:color="auto" w:fill="FFFFFF"/>
        </w:rPr>
        <w:t>2.4 Collection of payment (contribution)</w:t>
      </w:r>
    </w:p>
    <w:p w14:paraId="155C11F3" w14:textId="7696DA10" w:rsidR="004C40E8" w:rsidRPr="00F232B2" w:rsidRDefault="004C40E8" w:rsidP="004C40E8">
      <w:pPr>
        <w:pStyle w:val="NormalWeb"/>
        <w:shd w:val="clear" w:color="auto" w:fill="FFFFFF"/>
        <w:spacing w:before="0" w:beforeAutospacing="0"/>
        <w:rPr>
          <w:rFonts w:asciiTheme="majorHAnsi" w:eastAsiaTheme="minorHAnsi" w:hAnsiTheme="majorHAnsi" w:cstheme="majorHAnsi"/>
          <w:sz w:val="24"/>
          <w:szCs w:val="24"/>
        </w:rPr>
      </w:pPr>
      <w:r w:rsidRPr="00F232B2">
        <w:rPr>
          <w:rFonts w:asciiTheme="majorHAnsi" w:hAnsiTheme="majorHAnsi" w:cstheme="majorHAnsi"/>
          <w:color w:val="000000"/>
          <w:sz w:val="24"/>
          <w:szCs w:val="24"/>
        </w:rPr>
        <w:t>The start date for any financial contributions should correspond with the start date for the associated Care and Support services </w:t>
      </w:r>
      <w:r w:rsidRPr="00F232B2">
        <w:rPr>
          <w:rStyle w:val="Emphasis"/>
          <w:rFonts w:asciiTheme="majorHAnsi" w:hAnsiTheme="majorHAnsi" w:cstheme="majorHAnsi"/>
          <w:color w:val="000000"/>
          <w:sz w:val="24"/>
          <w:szCs w:val="24"/>
        </w:rPr>
        <w:t>unless</w:t>
      </w:r>
      <w:r w:rsidRPr="00F232B2">
        <w:rPr>
          <w:rFonts w:asciiTheme="majorHAnsi" w:hAnsiTheme="majorHAnsi" w:cstheme="majorHAnsi"/>
          <w:color w:val="000000"/>
          <w:sz w:val="24"/>
          <w:szCs w:val="24"/>
        </w:rPr>
        <w:t> a decision has been made otherwise through the financial assessment process.</w:t>
      </w:r>
    </w:p>
    <w:p w14:paraId="639AF900" w14:textId="1B9C731B"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This could include a temporary full cost charge while their form is </w:t>
      </w:r>
      <w:proofErr w:type="gramStart"/>
      <w:r w:rsidRPr="00BF0A86">
        <w:rPr>
          <w:rFonts w:ascii="Calibri" w:eastAsia="Times New Roman" w:hAnsi="Calibri" w:cs="Arial"/>
          <w:sz w:val="24"/>
          <w:szCs w:val="24"/>
          <w:shd w:val="clear" w:color="auto" w:fill="FFFFFF"/>
        </w:rPr>
        <w:t>returned</w:t>
      </w:r>
      <w:proofErr w:type="gramEnd"/>
      <w:r w:rsidRPr="00BF0A86">
        <w:rPr>
          <w:rFonts w:ascii="Calibri" w:eastAsia="Times New Roman" w:hAnsi="Calibri" w:cs="Arial"/>
          <w:sz w:val="24"/>
          <w:szCs w:val="24"/>
          <w:shd w:val="clear" w:color="auto" w:fill="FFFFFF"/>
        </w:rPr>
        <w:t xml:space="preserve"> and assessment undertaken.</w:t>
      </w:r>
    </w:p>
    <w:p w14:paraId="69DB18AD" w14:textId="77777777" w:rsidR="00355AC9" w:rsidRDefault="00355AC9" w:rsidP="00BF0A86">
      <w:pPr>
        <w:spacing w:after="0" w:line="300" w:lineRule="exact"/>
        <w:rPr>
          <w:rFonts w:ascii="Calibri" w:eastAsia="Times New Roman" w:hAnsi="Calibri" w:cs="Arial"/>
          <w:sz w:val="24"/>
          <w:szCs w:val="24"/>
          <w:shd w:val="clear" w:color="auto" w:fill="FFFFFF"/>
        </w:rPr>
      </w:pPr>
    </w:p>
    <w:p w14:paraId="4B4F5C40" w14:textId="3ED4194B"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The customer’s contribution will be collected, or will become payable, every 4 weeks according to a regular schedule. They will receive a statement every 4 weeks which shows how much is due.</w:t>
      </w:r>
    </w:p>
    <w:p w14:paraId="03A34678" w14:textId="77777777" w:rsidR="00355AC9" w:rsidRDefault="00355AC9" w:rsidP="00BF0A86">
      <w:pPr>
        <w:spacing w:after="0" w:line="300" w:lineRule="exact"/>
        <w:rPr>
          <w:rFonts w:ascii="Calibri" w:eastAsia="Times New Roman" w:hAnsi="Calibri" w:cs="Arial"/>
          <w:sz w:val="24"/>
          <w:szCs w:val="24"/>
          <w:shd w:val="clear" w:color="auto" w:fill="FFFFFF"/>
        </w:rPr>
      </w:pPr>
    </w:p>
    <w:p w14:paraId="3E92E8A1" w14:textId="154E9B2A" w:rsidR="00BF0A86" w:rsidRPr="00BF0A86" w:rsidRDefault="00BF0A86" w:rsidP="00BF0A86">
      <w:p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Customers can pay their contributions by:</w:t>
      </w:r>
    </w:p>
    <w:p w14:paraId="24F3391D" w14:textId="77777777" w:rsidR="00BF0A86" w:rsidRPr="00BF0A86" w:rsidRDefault="00BF0A86" w:rsidP="00BF0A86">
      <w:pPr>
        <w:numPr>
          <w:ilvl w:val="0"/>
          <w:numId w:val="24"/>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 xml:space="preserve">direct </w:t>
      </w:r>
      <w:proofErr w:type="gramStart"/>
      <w:r w:rsidRPr="00BF0A86">
        <w:rPr>
          <w:rFonts w:ascii="Calibri" w:eastAsia="Times New Roman" w:hAnsi="Calibri" w:cs="Arial"/>
          <w:sz w:val="24"/>
          <w:szCs w:val="24"/>
          <w:shd w:val="clear" w:color="auto" w:fill="FFFFFF"/>
        </w:rPr>
        <w:t>debit;</w:t>
      </w:r>
      <w:proofErr w:type="gramEnd"/>
    </w:p>
    <w:p w14:paraId="21E2D219" w14:textId="77777777" w:rsidR="00BF0A86" w:rsidRPr="00BF0A86" w:rsidRDefault="00BF0A86" w:rsidP="00BF0A86">
      <w:pPr>
        <w:numPr>
          <w:ilvl w:val="0"/>
          <w:numId w:val="24"/>
        </w:numPr>
        <w:spacing w:after="0" w:line="300" w:lineRule="exact"/>
        <w:rPr>
          <w:rFonts w:ascii="Calibri" w:eastAsia="Times New Roman" w:hAnsi="Calibri" w:cs="Arial"/>
          <w:sz w:val="24"/>
          <w:szCs w:val="24"/>
          <w:shd w:val="clear" w:color="auto" w:fill="FFFFFF"/>
        </w:rPr>
      </w:pPr>
      <w:proofErr w:type="spellStart"/>
      <w:r w:rsidRPr="00BF0A86">
        <w:rPr>
          <w:rFonts w:ascii="Calibri" w:eastAsia="Times New Roman" w:hAnsi="Calibri" w:cs="Arial"/>
          <w:sz w:val="24"/>
          <w:szCs w:val="24"/>
          <w:shd w:val="clear" w:color="auto" w:fill="FFFFFF"/>
        </w:rPr>
        <w:t>Allpay</w:t>
      </w:r>
      <w:proofErr w:type="spellEnd"/>
      <w:r w:rsidRPr="00BF0A86">
        <w:rPr>
          <w:rFonts w:ascii="Calibri" w:eastAsia="Times New Roman" w:hAnsi="Calibri" w:cs="Arial"/>
          <w:sz w:val="24"/>
          <w:szCs w:val="24"/>
          <w:shd w:val="clear" w:color="auto" w:fill="FFFFFF"/>
        </w:rPr>
        <w:t xml:space="preserve"> – payment </w:t>
      </w:r>
      <w:proofErr w:type="gramStart"/>
      <w:r w:rsidRPr="00BF0A86">
        <w:rPr>
          <w:rFonts w:ascii="Calibri" w:eastAsia="Times New Roman" w:hAnsi="Calibri" w:cs="Arial"/>
          <w:sz w:val="24"/>
          <w:szCs w:val="24"/>
          <w:shd w:val="clear" w:color="auto" w:fill="FFFFFF"/>
        </w:rPr>
        <w:t>card;</w:t>
      </w:r>
      <w:proofErr w:type="gramEnd"/>
    </w:p>
    <w:p w14:paraId="15A2C447" w14:textId="77777777" w:rsidR="00BF0A86" w:rsidRPr="00BF0A86" w:rsidRDefault="00BF0A86" w:rsidP="00BF0A86">
      <w:pPr>
        <w:numPr>
          <w:ilvl w:val="0"/>
          <w:numId w:val="24"/>
        </w:numPr>
        <w:spacing w:after="0" w:line="300" w:lineRule="exact"/>
        <w:rPr>
          <w:rFonts w:ascii="Calibri" w:eastAsia="Times New Roman" w:hAnsi="Calibri" w:cs="Arial"/>
          <w:sz w:val="24"/>
          <w:szCs w:val="24"/>
          <w:shd w:val="clear" w:color="auto" w:fill="FFFFFF"/>
        </w:rPr>
      </w:pPr>
      <w:proofErr w:type="gramStart"/>
      <w:r w:rsidRPr="00BF0A86">
        <w:rPr>
          <w:rFonts w:ascii="Calibri" w:eastAsia="Times New Roman" w:hAnsi="Calibri" w:cs="Arial"/>
          <w:sz w:val="24"/>
          <w:szCs w:val="24"/>
          <w:shd w:val="clear" w:color="auto" w:fill="FFFFFF"/>
        </w:rPr>
        <w:t>cheque;</w:t>
      </w:r>
      <w:proofErr w:type="gramEnd"/>
    </w:p>
    <w:p w14:paraId="20509E4E" w14:textId="77777777" w:rsidR="00BF0A86" w:rsidRPr="00BF0A86" w:rsidRDefault="00BF0A86" w:rsidP="00BF0A86">
      <w:pPr>
        <w:numPr>
          <w:ilvl w:val="0"/>
          <w:numId w:val="24"/>
        </w:numPr>
        <w:spacing w:after="0" w:line="300" w:lineRule="exact"/>
        <w:rPr>
          <w:rFonts w:ascii="Calibri" w:eastAsia="Times New Roman" w:hAnsi="Calibri" w:cs="Arial"/>
          <w:sz w:val="24"/>
          <w:szCs w:val="24"/>
          <w:shd w:val="clear" w:color="auto" w:fill="FFFFFF"/>
        </w:rPr>
      </w:pPr>
      <w:r w:rsidRPr="00BF0A86">
        <w:rPr>
          <w:rFonts w:ascii="Calibri" w:eastAsia="Times New Roman" w:hAnsi="Calibri" w:cs="Arial"/>
          <w:sz w:val="24"/>
          <w:szCs w:val="24"/>
          <w:shd w:val="clear" w:color="auto" w:fill="FFFFFF"/>
        </w:rPr>
        <w:t>or by phone with the Credit Control team.</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672510E6" w:rsidR="00D901E3" w:rsidRPr="00A7039B" w:rsidRDefault="005A3FE8" w:rsidP="00DA1562">
      <w:pPr>
        <w:pStyle w:val="Heading1"/>
        <w:spacing w:before="0"/>
        <w:rPr>
          <w:b/>
          <w:bCs/>
          <w:color w:val="auto"/>
        </w:rPr>
      </w:pPr>
      <w:bookmarkStart w:id="3" w:name="_Toc125465453"/>
      <w:r w:rsidRPr="005A3FE8">
        <w:rPr>
          <w:b/>
          <w:bCs/>
          <w:color w:val="auto"/>
        </w:rPr>
        <w:t>Adult Charging Waiver Policy</w:t>
      </w:r>
      <w:bookmarkEnd w:id="3"/>
    </w:p>
    <w:p w14:paraId="465D646E" w14:textId="1BC9E045" w:rsidR="00575E4E" w:rsidRPr="00575E4E" w:rsidRDefault="00575E4E" w:rsidP="00575E4E">
      <w:pPr>
        <w:spacing w:after="0" w:line="300" w:lineRule="exact"/>
        <w:rPr>
          <w:rFonts w:ascii="Calibri" w:eastAsia="Times New Roman" w:hAnsi="Calibri" w:cs="Arial"/>
          <w:sz w:val="24"/>
          <w:szCs w:val="24"/>
          <w:shd w:val="clear" w:color="auto" w:fill="FFFFFF"/>
        </w:rPr>
      </w:pPr>
      <w:r w:rsidRPr="00575E4E">
        <w:rPr>
          <w:rFonts w:ascii="Calibri" w:eastAsia="Times New Roman" w:hAnsi="Calibri" w:cs="Arial"/>
          <w:sz w:val="24"/>
          <w:szCs w:val="24"/>
          <w:shd w:val="clear" w:color="auto" w:fill="FFFFFF"/>
        </w:rPr>
        <w:t>There may be circumstances where contributions can be waived. Any waived contributions will be considered using the </w:t>
      </w:r>
      <w:hyperlink r:id="rId14" w:tgtFrame="_blank" w:history="1">
        <w:r w:rsidRPr="00575E4E">
          <w:rPr>
            <w:rStyle w:val="Hyperlink"/>
            <w:rFonts w:ascii="Calibri" w:eastAsia="Times New Roman" w:hAnsi="Calibri" w:cs="Arial"/>
            <w:sz w:val="24"/>
            <w:szCs w:val="24"/>
            <w:shd w:val="clear" w:color="auto" w:fill="FFFFFF"/>
          </w:rPr>
          <w:t>Adult C</w:t>
        </w:r>
        <w:r w:rsidRPr="00575E4E">
          <w:rPr>
            <w:rStyle w:val="Hyperlink"/>
            <w:rFonts w:ascii="Calibri" w:eastAsia="Times New Roman" w:hAnsi="Calibri" w:cs="Arial"/>
            <w:sz w:val="24"/>
            <w:szCs w:val="24"/>
            <w:shd w:val="clear" w:color="auto" w:fill="FFFFFF"/>
          </w:rPr>
          <w:t>h</w:t>
        </w:r>
        <w:r w:rsidRPr="00575E4E">
          <w:rPr>
            <w:rStyle w:val="Hyperlink"/>
            <w:rFonts w:ascii="Calibri" w:eastAsia="Times New Roman" w:hAnsi="Calibri" w:cs="Arial"/>
            <w:sz w:val="24"/>
            <w:szCs w:val="24"/>
            <w:shd w:val="clear" w:color="auto" w:fill="FFFFFF"/>
          </w:rPr>
          <w:t>arging Waiver Policy</w:t>
        </w:r>
      </w:hyperlink>
      <w:r w:rsidRPr="00575E4E">
        <w:rPr>
          <w:rFonts w:ascii="Calibri" w:eastAsia="Times New Roman" w:hAnsi="Calibri" w:cs="Arial"/>
          <w:sz w:val="24"/>
          <w:szCs w:val="24"/>
          <w:shd w:val="clear" w:color="auto" w:fill="FFFFFF"/>
        </w:rPr>
        <w:t> (Lincolnshire County Council intranet).</w:t>
      </w:r>
    </w:p>
    <w:p w14:paraId="24064217" w14:textId="77777777" w:rsidR="00355AC9" w:rsidRDefault="00355AC9" w:rsidP="00575E4E">
      <w:pPr>
        <w:spacing w:after="0" w:line="300" w:lineRule="exact"/>
        <w:rPr>
          <w:rFonts w:ascii="Calibri" w:eastAsia="Times New Roman" w:hAnsi="Calibri" w:cs="Arial"/>
          <w:sz w:val="24"/>
          <w:szCs w:val="24"/>
          <w:shd w:val="clear" w:color="auto" w:fill="FFFFFF"/>
        </w:rPr>
      </w:pPr>
    </w:p>
    <w:p w14:paraId="07E2B9B0" w14:textId="29D32384" w:rsidR="00575E4E" w:rsidRPr="00575E4E" w:rsidRDefault="00575E4E" w:rsidP="00575E4E">
      <w:pPr>
        <w:spacing w:after="0" w:line="300" w:lineRule="exact"/>
        <w:rPr>
          <w:rFonts w:ascii="Calibri" w:eastAsia="Times New Roman" w:hAnsi="Calibri" w:cs="Arial"/>
          <w:sz w:val="24"/>
          <w:szCs w:val="24"/>
          <w:shd w:val="clear" w:color="auto" w:fill="FFFFFF"/>
        </w:rPr>
      </w:pPr>
      <w:r w:rsidRPr="00575E4E">
        <w:rPr>
          <w:rFonts w:ascii="Calibri" w:eastAsia="Times New Roman" w:hAnsi="Calibri" w:cs="Arial"/>
          <w:sz w:val="24"/>
          <w:szCs w:val="24"/>
          <w:shd w:val="clear" w:color="auto" w:fill="FFFFFF"/>
        </w:rPr>
        <w:t>The overarching aim of the Adult Care Non-Residential Contributions Policy and Adult Charging Waiver Policy is to ensure that charges are reasonable under the terms of the Care Act 2014 and demonstrably fair and consistent with the overall objectives of Adult Care.</w:t>
      </w:r>
    </w:p>
    <w:p w14:paraId="0FECCF86" w14:textId="77777777" w:rsidR="002B75DA" w:rsidRPr="00126554" w:rsidRDefault="002B75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3B659A28" w:rsidR="00767CBE" w:rsidRPr="00A7039B" w:rsidRDefault="001C0BBA" w:rsidP="00767CBE">
      <w:pPr>
        <w:pStyle w:val="Heading1"/>
        <w:spacing w:before="0"/>
        <w:rPr>
          <w:b/>
          <w:bCs/>
          <w:color w:val="auto"/>
        </w:rPr>
      </w:pPr>
      <w:bookmarkStart w:id="4" w:name="_Toc125465454"/>
      <w:r w:rsidRPr="001C0BBA">
        <w:rPr>
          <w:b/>
          <w:bCs/>
          <w:color w:val="auto"/>
        </w:rPr>
        <w:t>Disability Related Expenditure Allowance</w:t>
      </w:r>
      <w:bookmarkEnd w:id="4"/>
    </w:p>
    <w:p w14:paraId="2C03506A" w14:textId="555557A9" w:rsid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Disability related expenditure (DRE) is the additional expense that a person incurs, specifically because they are disabled or have health problems. The local authority must take eligible expenditure into account in financial assessments to make sure that people who pay towards their care and support have enough money to live on.</w:t>
      </w:r>
    </w:p>
    <w:p w14:paraId="28F19099" w14:textId="77777777" w:rsidR="000F4064" w:rsidRDefault="000F4064" w:rsidP="00035CE8">
      <w:pPr>
        <w:spacing w:after="0" w:line="300" w:lineRule="exact"/>
        <w:rPr>
          <w:rFonts w:ascii="Calibri" w:eastAsia="Times New Roman" w:hAnsi="Calibri" w:cs="Arial"/>
          <w:sz w:val="24"/>
          <w:szCs w:val="24"/>
          <w:shd w:val="clear" w:color="auto" w:fill="FFFFFF"/>
        </w:rPr>
      </w:pPr>
    </w:p>
    <w:p w14:paraId="1630BE90" w14:textId="215DDCEF" w:rsid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They are based on the benefits the person receives and the following apply:</w:t>
      </w:r>
    </w:p>
    <w:p w14:paraId="3CC6E86F" w14:textId="77777777" w:rsidR="000F4064" w:rsidRPr="00035CE8" w:rsidRDefault="000F4064" w:rsidP="00035CE8">
      <w:pPr>
        <w:spacing w:after="0" w:line="300" w:lineRule="exact"/>
        <w:rPr>
          <w:rFonts w:ascii="Calibri" w:eastAsia="Times New Roman" w:hAnsi="Calibri" w:cs="Arial"/>
          <w:sz w:val="24"/>
          <w:szCs w:val="24"/>
          <w:shd w:val="clear" w:color="auto" w:fill="FFFFFF"/>
        </w:rPr>
      </w:pPr>
    </w:p>
    <w:tbl>
      <w:tblPr>
        <w:tblW w:w="9064" w:type="dxa"/>
        <w:tblCellSpacing w:w="15" w:type="dxa"/>
        <w:tblBorders>
          <w:top w:val="single" w:sz="6" w:space="0" w:color="E0DEDE"/>
          <w:left w:val="single" w:sz="6" w:space="0" w:color="E0DEDE"/>
          <w:bottom w:val="single" w:sz="6" w:space="0" w:color="E0DEDE"/>
          <w:right w:val="single" w:sz="6" w:space="0" w:color="E0DEDE"/>
        </w:tblBorders>
        <w:tblCellMar>
          <w:left w:w="0" w:type="dxa"/>
          <w:right w:w="0" w:type="dxa"/>
        </w:tblCellMar>
        <w:tblLook w:val="04A0" w:firstRow="1" w:lastRow="0" w:firstColumn="1" w:lastColumn="0" w:noHBand="0" w:noVBand="1"/>
      </w:tblPr>
      <w:tblGrid>
        <w:gridCol w:w="3572"/>
        <w:gridCol w:w="5492"/>
      </w:tblGrid>
      <w:tr w:rsidR="00035CE8" w:rsidRPr="00035CE8" w14:paraId="1F481C08" w14:textId="77777777" w:rsidTr="00F232B2">
        <w:trPr>
          <w:tblCellSpacing w:w="15" w:type="dxa"/>
        </w:trPr>
        <w:tc>
          <w:tcPr>
            <w:tcW w:w="352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670B5BCC"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p>
        </w:tc>
        <w:tc>
          <w:tcPr>
            <w:tcW w:w="544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39CD97DF"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b/>
                <w:bCs/>
                <w:sz w:val="24"/>
                <w:szCs w:val="24"/>
                <w:shd w:val="clear" w:color="auto" w:fill="FFFFFF"/>
              </w:rPr>
              <w:t>Benefits Claimed</w:t>
            </w:r>
          </w:p>
        </w:tc>
      </w:tr>
      <w:tr w:rsidR="00035CE8" w:rsidRPr="00035CE8" w14:paraId="1BF23085" w14:textId="77777777" w:rsidTr="00F232B2">
        <w:trPr>
          <w:tblCellSpacing w:w="15" w:type="dxa"/>
        </w:trPr>
        <w:tc>
          <w:tcPr>
            <w:tcW w:w="352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2C682677"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Level 1</w:t>
            </w:r>
          </w:p>
        </w:tc>
        <w:tc>
          <w:tcPr>
            <w:tcW w:w="544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3298689D" w14:textId="63C8519B"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Low Rate Disability Living Allowance *+(DLA) care component</w:t>
            </w:r>
          </w:p>
        </w:tc>
      </w:tr>
      <w:tr w:rsidR="00035CE8" w:rsidRPr="00035CE8" w14:paraId="12DEFCA9" w14:textId="77777777" w:rsidTr="00F232B2">
        <w:trPr>
          <w:tblCellSpacing w:w="15" w:type="dxa"/>
        </w:trPr>
        <w:tc>
          <w:tcPr>
            <w:tcW w:w="352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353C1DDB"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Level 2</w:t>
            </w:r>
          </w:p>
        </w:tc>
        <w:tc>
          <w:tcPr>
            <w:tcW w:w="544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5E523598" w14:textId="16EF9202"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Middle Rate DLA care component, Personal Independence Payment (PIP), low rate Attendance Allowance (AA)</w:t>
            </w:r>
          </w:p>
        </w:tc>
      </w:tr>
      <w:tr w:rsidR="00035CE8" w:rsidRPr="00035CE8" w14:paraId="6E5395DF" w14:textId="77777777" w:rsidTr="00F232B2">
        <w:trPr>
          <w:tblCellSpacing w:w="15" w:type="dxa"/>
        </w:trPr>
        <w:tc>
          <w:tcPr>
            <w:tcW w:w="352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0F8F9D37"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Level 3</w:t>
            </w:r>
          </w:p>
        </w:tc>
        <w:tc>
          <w:tcPr>
            <w:tcW w:w="5447"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138EF4D7" w14:textId="7777777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High Rate DLA care component, PIP, Enhanced Rate Daily Living Component, High rate AA</w:t>
            </w:r>
          </w:p>
        </w:tc>
      </w:tr>
    </w:tbl>
    <w:p w14:paraId="2E4DD935" w14:textId="77777777" w:rsidR="000F4064" w:rsidRDefault="000F4064" w:rsidP="00035CE8">
      <w:pPr>
        <w:spacing w:after="0" w:line="300" w:lineRule="exact"/>
        <w:rPr>
          <w:rFonts w:ascii="Calibri" w:eastAsia="Times New Roman" w:hAnsi="Calibri" w:cs="Arial"/>
          <w:sz w:val="24"/>
          <w:szCs w:val="24"/>
          <w:shd w:val="clear" w:color="auto" w:fill="FFFFFF"/>
        </w:rPr>
      </w:pPr>
    </w:p>
    <w:p w14:paraId="17A98DF1" w14:textId="5644F3E7"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 xml:space="preserve">If a customer feels their expenses relating to disability are higher than the banded allowance, they can appeal.  </w:t>
      </w:r>
      <w:proofErr w:type="gramStart"/>
      <w:r w:rsidRPr="00035CE8">
        <w:rPr>
          <w:rFonts w:ascii="Calibri" w:eastAsia="Times New Roman" w:hAnsi="Calibri" w:cs="Arial"/>
          <w:sz w:val="24"/>
          <w:szCs w:val="24"/>
          <w:shd w:val="clear" w:color="auto" w:fill="FFFFFF"/>
        </w:rPr>
        <w:t>In order to</w:t>
      </w:r>
      <w:proofErr w:type="gramEnd"/>
      <w:r w:rsidRPr="00035CE8">
        <w:rPr>
          <w:rFonts w:ascii="Calibri" w:eastAsia="Times New Roman" w:hAnsi="Calibri" w:cs="Arial"/>
          <w:sz w:val="24"/>
          <w:szCs w:val="24"/>
          <w:shd w:val="clear" w:color="auto" w:fill="FFFFFF"/>
        </w:rPr>
        <w:t xml:space="preserve"> appeal, the customer must provide receipts of all expenses they wish to claim.</w:t>
      </w:r>
    </w:p>
    <w:p w14:paraId="428A9099" w14:textId="77777777" w:rsidR="000F4064" w:rsidRDefault="000F4064" w:rsidP="00035CE8">
      <w:pPr>
        <w:spacing w:after="0" w:line="300" w:lineRule="exact"/>
        <w:rPr>
          <w:rFonts w:ascii="Calibri" w:eastAsia="Times New Roman" w:hAnsi="Calibri" w:cs="Arial"/>
          <w:sz w:val="24"/>
          <w:szCs w:val="24"/>
          <w:shd w:val="clear" w:color="auto" w:fill="FFFFFF"/>
        </w:rPr>
      </w:pPr>
    </w:p>
    <w:p w14:paraId="5EB708D3" w14:textId="7B929C7E" w:rsidR="00035CE8" w:rsidRPr="00035CE8" w:rsidRDefault="00035CE8" w:rsidP="00035CE8">
      <w:pPr>
        <w:spacing w:after="0" w:line="300" w:lineRule="exact"/>
        <w:rPr>
          <w:rFonts w:ascii="Calibri" w:eastAsia="Times New Roman" w:hAnsi="Calibri" w:cs="Arial"/>
          <w:sz w:val="24"/>
          <w:szCs w:val="24"/>
          <w:shd w:val="clear" w:color="auto" w:fill="FFFFFF"/>
        </w:rPr>
      </w:pPr>
      <w:r w:rsidRPr="00035CE8">
        <w:rPr>
          <w:rFonts w:ascii="Calibri" w:eastAsia="Times New Roman" w:hAnsi="Calibri" w:cs="Arial"/>
          <w:sz w:val="24"/>
          <w:szCs w:val="24"/>
          <w:shd w:val="clear" w:color="auto" w:fill="FFFFFF"/>
        </w:rPr>
        <w:t>NB: The newly assessed rate would be used even if this is lower than the original banded rate.</w:t>
      </w:r>
    </w:p>
    <w:p w14:paraId="6E355CB8" w14:textId="502EE6C8" w:rsidR="00E55906" w:rsidRPr="00AB6E5E" w:rsidRDefault="00787989" w:rsidP="00AB6E5E">
      <w:p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 xml:space="preserve">Please also note the DRE will be moving away from banded and will return to receipted expenditure </w:t>
      </w:r>
      <w:proofErr w:type="gramStart"/>
      <w:r>
        <w:rPr>
          <w:rFonts w:ascii="Calibri" w:eastAsia="Times New Roman" w:hAnsi="Calibri" w:cs="Arial"/>
          <w:sz w:val="24"/>
          <w:szCs w:val="24"/>
          <w:shd w:val="clear" w:color="auto" w:fill="FFFFFF"/>
        </w:rPr>
        <w:t>in the near future</w:t>
      </w:r>
      <w:proofErr w:type="gramEnd"/>
      <w:r>
        <w:rPr>
          <w:rFonts w:ascii="Calibri" w:eastAsia="Times New Roman" w:hAnsi="Calibri" w:cs="Arial"/>
          <w:sz w:val="24"/>
          <w:szCs w:val="24"/>
          <w:shd w:val="clear" w:color="auto" w:fill="FFFFFF"/>
        </w:rPr>
        <w:t>. Guidance will be updated when the implementation date is known.</w:t>
      </w: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350BCC9F" w:rsidR="00767CBE" w:rsidRPr="00A7039B" w:rsidRDefault="00F14339" w:rsidP="00767CBE">
      <w:pPr>
        <w:pStyle w:val="Heading1"/>
        <w:spacing w:before="0"/>
        <w:rPr>
          <w:b/>
          <w:bCs/>
          <w:color w:val="auto"/>
        </w:rPr>
      </w:pPr>
      <w:bookmarkStart w:id="5" w:name="_Toc125465455"/>
      <w:r w:rsidRPr="00F14339">
        <w:rPr>
          <w:b/>
          <w:bCs/>
          <w:color w:val="auto"/>
        </w:rPr>
        <w:t>Cancelled Care and Refunded Cancelled Care</w:t>
      </w:r>
      <w:bookmarkEnd w:id="5"/>
    </w:p>
    <w:p w14:paraId="006F2201" w14:textId="21BD2CBA"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b/>
          <w:bCs/>
          <w:sz w:val="24"/>
          <w:szCs w:val="24"/>
          <w:shd w:val="clear" w:color="auto" w:fill="FFFFFF"/>
        </w:rPr>
        <w:t>5.1 Cancelling care</w:t>
      </w:r>
    </w:p>
    <w:p w14:paraId="42783B08" w14:textId="7777777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Customers are required to provide 72 hours’ notice where they wish to cancel any of their planned care. This helps the council to avoid unnecessary costs and enables providers to manage capacity efficiently and make the best use of available staff.</w:t>
      </w:r>
    </w:p>
    <w:p w14:paraId="197D845E" w14:textId="77777777" w:rsidR="00123209" w:rsidRPr="00123209" w:rsidRDefault="00123209" w:rsidP="00123209">
      <w:pPr>
        <w:numPr>
          <w:ilvl w:val="0"/>
          <w:numId w:val="25"/>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 xml:space="preserve">the requirement to give 72 hours’ notice does not apply in the case of an emergency hospital </w:t>
      </w:r>
      <w:proofErr w:type="gramStart"/>
      <w:r w:rsidRPr="00123209">
        <w:rPr>
          <w:rFonts w:ascii="Calibri" w:eastAsia="Times New Roman" w:hAnsi="Calibri" w:cs="Arial"/>
          <w:sz w:val="24"/>
          <w:szCs w:val="24"/>
          <w:shd w:val="clear" w:color="auto" w:fill="FFFFFF"/>
        </w:rPr>
        <w:t>admission;</w:t>
      </w:r>
      <w:proofErr w:type="gramEnd"/>
    </w:p>
    <w:p w14:paraId="7F4BBCA6" w14:textId="4697FEE9" w:rsidR="00123209" w:rsidRPr="00123209" w:rsidRDefault="00123209" w:rsidP="00123209">
      <w:pPr>
        <w:numPr>
          <w:ilvl w:val="0"/>
          <w:numId w:val="25"/>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should customers need to cancel homecare calls</w:t>
      </w:r>
      <w:r w:rsidR="00A11E7E">
        <w:rPr>
          <w:rFonts w:ascii="Calibri" w:eastAsia="Times New Roman" w:hAnsi="Calibri" w:cs="Arial"/>
          <w:sz w:val="24"/>
          <w:szCs w:val="24"/>
          <w:shd w:val="clear" w:color="auto" w:fill="FFFFFF"/>
        </w:rPr>
        <w:t xml:space="preserve"> they should </w:t>
      </w:r>
      <w:r w:rsidR="00A13C9E">
        <w:rPr>
          <w:rFonts w:ascii="Calibri" w:eastAsia="Times New Roman" w:hAnsi="Calibri" w:cs="Arial"/>
          <w:sz w:val="24"/>
          <w:szCs w:val="24"/>
          <w:shd w:val="clear" w:color="auto" w:fill="FFFFFF"/>
        </w:rPr>
        <w:t>the Adult Care Charges Team on</w:t>
      </w:r>
      <w:r w:rsidR="00A11E7E">
        <w:rPr>
          <w:rFonts w:ascii="Calibri" w:eastAsia="Times New Roman" w:hAnsi="Calibri" w:cs="Arial"/>
          <w:sz w:val="24"/>
          <w:szCs w:val="24"/>
          <w:shd w:val="clear" w:color="auto" w:fill="FFFFFF"/>
        </w:rPr>
        <w:t xml:space="preserve"> 01522 555260</w:t>
      </w:r>
      <w:r w:rsidRPr="00123209">
        <w:rPr>
          <w:rFonts w:ascii="Calibri" w:eastAsia="Times New Roman" w:hAnsi="Calibri" w:cs="Arial"/>
          <w:sz w:val="24"/>
          <w:szCs w:val="24"/>
          <w:shd w:val="clear" w:color="auto" w:fill="FFFFFF"/>
        </w:rPr>
        <w:t>.</w:t>
      </w:r>
    </w:p>
    <w:p w14:paraId="55C1430C" w14:textId="77777777" w:rsidR="004D04E5" w:rsidRDefault="004D04E5" w:rsidP="00123209">
      <w:pPr>
        <w:spacing w:after="0" w:line="300" w:lineRule="exact"/>
        <w:rPr>
          <w:rFonts w:ascii="Calibri" w:eastAsia="Times New Roman" w:hAnsi="Calibri" w:cs="Arial"/>
          <w:b/>
          <w:bCs/>
          <w:sz w:val="24"/>
          <w:szCs w:val="24"/>
          <w:shd w:val="clear" w:color="auto" w:fill="FFFFFF"/>
        </w:rPr>
      </w:pPr>
    </w:p>
    <w:p w14:paraId="1791167B" w14:textId="043DE686" w:rsidR="00123209" w:rsidRPr="00123209" w:rsidRDefault="00123209" w:rsidP="00123209">
      <w:pPr>
        <w:spacing w:after="0" w:line="300" w:lineRule="exact"/>
        <w:rPr>
          <w:rFonts w:ascii="Calibri" w:eastAsia="Times New Roman" w:hAnsi="Calibri" w:cs="Arial"/>
          <w:b/>
          <w:bCs/>
          <w:sz w:val="24"/>
          <w:szCs w:val="24"/>
          <w:shd w:val="clear" w:color="auto" w:fill="FFFFFF"/>
        </w:rPr>
      </w:pPr>
      <w:r w:rsidRPr="00123209">
        <w:rPr>
          <w:rFonts w:ascii="Calibri" w:eastAsia="Times New Roman" w:hAnsi="Calibri" w:cs="Arial"/>
          <w:b/>
          <w:bCs/>
          <w:sz w:val="24"/>
          <w:szCs w:val="24"/>
          <w:shd w:val="clear" w:color="auto" w:fill="FFFFFF"/>
        </w:rPr>
        <w:t>5.2 Refunding cancelled care</w:t>
      </w:r>
    </w:p>
    <w:p w14:paraId="34182EFF" w14:textId="7777777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Refunds will be managed by the Financial Assessment and Income Collection Team (FAICT) and customers should be referred to the team for further information and to request a review. However, practitioners should have a basic understanding of how refunds work to ensure they offer appropriate advice when working with customers who feel they may have over contributed to their care.</w:t>
      </w:r>
    </w:p>
    <w:p w14:paraId="1EF1402A" w14:textId="77777777" w:rsidR="004D04E5" w:rsidRDefault="004D04E5" w:rsidP="00123209">
      <w:pPr>
        <w:spacing w:after="0" w:line="300" w:lineRule="exact"/>
        <w:rPr>
          <w:rFonts w:ascii="Calibri" w:eastAsia="Times New Roman" w:hAnsi="Calibri" w:cs="Arial"/>
          <w:sz w:val="24"/>
          <w:szCs w:val="24"/>
          <w:shd w:val="clear" w:color="auto" w:fill="FFFFFF"/>
        </w:rPr>
      </w:pPr>
    </w:p>
    <w:p w14:paraId="1ECFBCF6" w14:textId="72360F2E"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Cancellations in care will normally only affect a person’s contribution where the amount they contribute over the course of the year is more than has been spent on care over the course of the year.</w:t>
      </w:r>
    </w:p>
    <w:p w14:paraId="6BA4F600" w14:textId="77777777" w:rsidR="004D04E5" w:rsidRDefault="004D04E5" w:rsidP="00123209">
      <w:pPr>
        <w:spacing w:after="0" w:line="300" w:lineRule="exact"/>
        <w:rPr>
          <w:rFonts w:ascii="Calibri" w:eastAsia="Times New Roman" w:hAnsi="Calibri" w:cs="Arial"/>
          <w:sz w:val="24"/>
          <w:szCs w:val="24"/>
          <w:shd w:val="clear" w:color="auto" w:fill="FFFFFF"/>
        </w:rPr>
      </w:pPr>
    </w:p>
    <w:p w14:paraId="2290F86B" w14:textId="283746D4"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lastRenderedPageBreak/>
        <w:t>If a customer cancels any visits within the required notice period or the care provider has missed calls, the person or their representative may ask the FAICT for their contributions to be reviewed to check whether any refund is due.</w:t>
      </w:r>
    </w:p>
    <w:p w14:paraId="316A2B3F" w14:textId="77777777" w:rsidR="004D04E5" w:rsidRDefault="004D04E5" w:rsidP="00123209">
      <w:pPr>
        <w:spacing w:after="0" w:line="300" w:lineRule="exact"/>
        <w:rPr>
          <w:rFonts w:ascii="Calibri" w:eastAsia="Times New Roman" w:hAnsi="Calibri" w:cs="Arial"/>
          <w:sz w:val="24"/>
          <w:szCs w:val="24"/>
          <w:shd w:val="clear" w:color="auto" w:fill="FFFFFF"/>
        </w:rPr>
      </w:pPr>
    </w:p>
    <w:p w14:paraId="2E96EC8D" w14:textId="327E46AD"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When a review takes place, the cost of care for the whole year will be compared to the total annual contribution that people have paid. A refund is only due if customers have paid more than the total cost of the services they have received.</w:t>
      </w:r>
    </w:p>
    <w:p w14:paraId="03C5BCD7" w14:textId="77777777" w:rsidR="004D04E5" w:rsidRDefault="004D04E5" w:rsidP="00123209">
      <w:pPr>
        <w:spacing w:after="0" w:line="300" w:lineRule="exact"/>
        <w:rPr>
          <w:rFonts w:ascii="Calibri" w:eastAsia="Times New Roman" w:hAnsi="Calibri" w:cs="Arial"/>
          <w:b/>
          <w:bCs/>
          <w:sz w:val="24"/>
          <w:szCs w:val="24"/>
          <w:shd w:val="clear" w:color="auto" w:fill="FFFFFF"/>
        </w:rPr>
      </w:pPr>
    </w:p>
    <w:p w14:paraId="6EFDA23B" w14:textId="5109E5E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b/>
          <w:bCs/>
          <w:sz w:val="24"/>
          <w:szCs w:val="24"/>
          <w:shd w:val="clear" w:color="auto" w:fill="FFFFFF"/>
        </w:rPr>
        <w:t>Example 1</w:t>
      </w:r>
    </w:p>
    <w:p w14:paraId="13459671" w14:textId="5E1221E4" w:rsidR="00123209" w:rsidRPr="00123209" w:rsidRDefault="00123209" w:rsidP="00123209">
      <w:pPr>
        <w:spacing w:after="0" w:line="300" w:lineRule="exact"/>
        <w:rPr>
          <w:rFonts w:ascii="Calibri" w:eastAsia="Times New Roman" w:hAnsi="Calibri" w:cs="Arial"/>
          <w:sz w:val="24"/>
          <w:szCs w:val="24"/>
          <w:shd w:val="clear" w:color="auto" w:fill="FFFFFF"/>
        </w:rPr>
      </w:pPr>
      <w:r w:rsidRPr="004D04E5">
        <w:rPr>
          <w:rFonts w:ascii="Calibri" w:eastAsia="Times New Roman" w:hAnsi="Calibri" w:cs="Arial"/>
          <w:sz w:val="24"/>
          <w:szCs w:val="24"/>
          <w:shd w:val="clear" w:color="auto" w:fill="FFFFFF"/>
        </w:rPr>
        <w:t>Personal Budget</w:t>
      </w:r>
      <w:r w:rsidRPr="00123209">
        <w:rPr>
          <w:rFonts w:ascii="Calibri" w:eastAsia="Times New Roman" w:hAnsi="Calibri" w:cs="Arial"/>
          <w:sz w:val="24"/>
          <w:szCs w:val="24"/>
          <w:shd w:val="clear" w:color="auto" w:fill="FFFFFF"/>
        </w:rPr>
        <w:t> is £5,200 for the year; that is £100 per week. The person’s contribution has been assessed as £40 per week. They are going away for 2 weeks and give the required 72 hours’ notice and ask for a review at the end of the year.</w:t>
      </w:r>
    </w:p>
    <w:p w14:paraId="6FA91AD4" w14:textId="77777777" w:rsidR="00123209" w:rsidRPr="00123209" w:rsidRDefault="00123209" w:rsidP="00123209">
      <w:pPr>
        <w:numPr>
          <w:ilvl w:val="0"/>
          <w:numId w:val="26"/>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Full cost of care for the year is £5200 – £200 = £5,000.</w:t>
      </w:r>
    </w:p>
    <w:p w14:paraId="4577368B" w14:textId="77777777" w:rsidR="00123209" w:rsidRPr="00123209" w:rsidRDefault="00123209" w:rsidP="00123209">
      <w:pPr>
        <w:numPr>
          <w:ilvl w:val="0"/>
          <w:numId w:val="26"/>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Total contribution paid is £40 x 52 = £2,080.</w:t>
      </w:r>
    </w:p>
    <w:p w14:paraId="09745255" w14:textId="7777777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No refund is due as the total cost of care for the year is more than their total contribution for the year.</w:t>
      </w:r>
    </w:p>
    <w:p w14:paraId="553A99F8" w14:textId="77777777" w:rsidR="004D04E5" w:rsidRDefault="004D04E5" w:rsidP="00123209">
      <w:pPr>
        <w:spacing w:after="0" w:line="300" w:lineRule="exact"/>
        <w:rPr>
          <w:rFonts w:ascii="Calibri" w:eastAsia="Times New Roman" w:hAnsi="Calibri" w:cs="Arial"/>
          <w:b/>
          <w:bCs/>
          <w:sz w:val="24"/>
          <w:szCs w:val="24"/>
          <w:shd w:val="clear" w:color="auto" w:fill="FFFFFF"/>
        </w:rPr>
      </w:pPr>
    </w:p>
    <w:p w14:paraId="4E874691" w14:textId="78AB0DBA"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b/>
          <w:bCs/>
          <w:sz w:val="24"/>
          <w:szCs w:val="24"/>
          <w:shd w:val="clear" w:color="auto" w:fill="FFFFFF"/>
        </w:rPr>
        <w:t>Example 2</w:t>
      </w:r>
    </w:p>
    <w:p w14:paraId="36AB11A7" w14:textId="7777777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Personal Budget is £5,200 for the year; that is £100 per week. The person’s contribution has been assessed as £90 per week. There are three times in the year when they cancel their care for two weeks and give the required 72 hours’ notice and ask for a review at the end of the year.</w:t>
      </w:r>
    </w:p>
    <w:p w14:paraId="5BD0F980" w14:textId="77777777" w:rsidR="00123209" w:rsidRPr="00123209" w:rsidRDefault="00123209" w:rsidP="00123209">
      <w:pPr>
        <w:numPr>
          <w:ilvl w:val="0"/>
          <w:numId w:val="27"/>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Full cost of care for the year is £5,200 – £600 = £4,600.</w:t>
      </w:r>
    </w:p>
    <w:p w14:paraId="7B00886D" w14:textId="77777777" w:rsidR="00123209" w:rsidRPr="00123209" w:rsidRDefault="00123209" w:rsidP="00123209">
      <w:pPr>
        <w:numPr>
          <w:ilvl w:val="0"/>
          <w:numId w:val="27"/>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Total contribution paid is £90 x 52 = £4,680.</w:t>
      </w:r>
    </w:p>
    <w:p w14:paraId="5E7EB123" w14:textId="77777777" w:rsidR="00123209" w:rsidRPr="00123209" w:rsidRDefault="00123209" w:rsidP="00123209">
      <w:pPr>
        <w:numPr>
          <w:ilvl w:val="0"/>
          <w:numId w:val="27"/>
        </w:num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Refund due: £80 – the amount paid over and above the total cost of care for the year.</w:t>
      </w:r>
    </w:p>
    <w:p w14:paraId="3D5E6927" w14:textId="77777777" w:rsidR="00123209" w:rsidRPr="00123209" w:rsidRDefault="00123209" w:rsidP="00123209">
      <w:pPr>
        <w:spacing w:after="0" w:line="300" w:lineRule="exact"/>
        <w:rPr>
          <w:rFonts w:ascii="Calibri" w:eastAsia="Times New Roman" w:hAnsi="Calibri" w:cs="Arial"/>
          <w:sz w:val="24"/>
          <w:szCs w:val="24"/>
          <w:shd w:val="clear" w:color="auto" w:fill="FFFFFF"/>
        </w:rPr>
      </w:pPr>
      <w:r w:rsidRPr="00123209">
        <w:rPr>
          <w:rFonts w:ascii="Calibri" w:eastAsia="Times New Roman" w:hAnsi="Calibri" w:cs="Arial"/>
          <w:sz w:val="24"/>
          <w:szCs w:val="24"/>
          <w:shd w:val="clear" w:color="auto" w:fill="FFFFFF"/>
        </w:rPr>
        <w:t>This is because they have been assessed as being able to afford £4680 a year and the council funds the difference between what the person can afford and the total cost of their care for the year.</w:t>
      </w:r>
    </w:p>
    <w:p w14:paraId="145C51CD"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p>
    <w:p w14:paraId="5976D4A4" w14:textId="1C2A8AFA" w:rsidR="001F3B41" w:rsidRDefault="001F3B41" w:rsidP="00767CBE">
      <w:pPr>
        <w:spacing w:after="0" w:line="300" w:lineRule="exact"/>
        <w:rPr>
          <w:rFonts w:ascii="Calibri" w:eastAsia="Times New Roman" w:hAnsi="Calibri" w:cs="Arial"/>
          <w:sz w:val="24"/>
          <w:szCs w:val="24"/>
          <w:shd w:val="clear" w:color="auto" w:fill="FFFFFF"/>
        </w:rPr>
      </w:pPr>
    </w:p>
    <w:p w14:paraId="6C487516" w14:textId="62700803" w:rsidR="009319DD" w:rsidRPr="00A7039B" w:rsidRDefault="006E3E17" w:rsidP="009319DD">
      <w:pPr>
        <w:pStyle w:val="Heading1"/>
        <w:spacing w:before="0"/>
        <w:rPr>
          <w:b/>
          <w:bCs/>
          <w:color w:val="auto"/>
        </w:rPr>
      </w:pPr>
      <w:bookmarkStart w:id="6" w:name="_Toc125465456"/>
      <w:r>
        <w:rPr>
          <w:b/>
          <w:bCs/>
          <w:color w:val="auto"/>
        </w:rPr>
        <w:t>Direct Payments</w:t>
      </w:r>
      <w:bookmarkEnd w:id="6"/>
    </w:p>
    <w:p w14:paraId="4ED14DC8" w14:textId="0156130D" w:rsidR="006C346A" w:rsidRPr="006C346A" w:rsidRDefault="006C346A" w:rsidP="006C346A">
      <w:pPr>
        <w:spacing w:after="0" w:line="300" w:lineRule="exact"/>
        <w:rPr>
          <w:rFonts w:ascii="Calibri" w:eastAsia="Times New Roman" w:hAnsi="Calibri" w:cs="Arial"/>
          <w:sz w:val="24"/>
          <w:szCs w:val="24"/>
          <w:shd w:val="clear" w:color="auto" w:fill="FFFFFF"/>
        </w:rPr>
      </w:pPr>
      <w:r w:rsidRPr="006C346A">
        <w:rPr>
          <w:rFonts w:ascii="Calibri" w:eastAsia="Times New Roman" w:hAnsi="Calibri" w:cs="Arial"/>
          <w:sz w:val="24"/>
          <w:szCs w:val="24"/>
          <w:shd w:val="clear" w:color="auto" w:fill="FFFFFF"/>
        </w:rPr>
        <w:t>Information on direct payments can be found in the </w:t>
      </w:r>
      <w:hyperlink r:id="rId15" w:history="1">
        <w:r w:rsidRPr="006C346A">
          <w:rPr>
            <w:rStyle w:val="Hyperlink"/>
            <w:rFonts w:ascii="Calibri" w:eastAsia="Times New Roman" w:hAnsi="Calibri" w:cs="Arial"/>
            <w:sz w:val="24"/>
            <w:szCs w:val="24"/>
            <w:shd w:val="clear" w:color="auto" w:fill="FFFFFF"/>
          </w:rPr>
          <w:t>Dire</w:t>
        </w:r>
        <w:r w:rsidRPr="006C346A">
          <w:rPr>
            <w:rStyle w:val="Hyperlink"/>
            <w:rFonts w:ascii="Calibri" w:eastAsia="Times New Roman" w:hAnsi="Calibri" w:cs="Arial"/>
            <w:sz w:val="24"/>
            <w:szCs w:val="24"/>
            <w:shd w:val="clear" w:color="auto" w:fill="FFFFFF"/>
          </w:rPr>
          <w:t>c</w:t>
        </w:r>
        <w:r w:rsidRPr="006C346A">
          <w:rPr>
            <w:rStyle w:val="Hyperlink"/>
            <w:rFonts w:ascii="Calibri" w:eastAsia="Times New Roman" w:hAnsi="Calibri" w:cs="Arial"/>
            <w:sz w:val="24"/>
            <w:szCs w:val="24"/>
            <w:shd w:val="clear" w:color="auto" w:fill="FFFFFF"/>
          </w:rPr>
          <w:t>t Payments chapter</w:t>
        </w:r>
      </w:hyperlink>
      <w:r w:rsidRPr="006C346A">
        <w:rPr>
          <w:rFonts w:ascii="Calibri" w:eastAsia="Times New Roman" w:hAnsi="Calibri" w:cs="Arial"/>
          <w:sz w:val="24"/>
          <w:szCs w:val="24"/>
          <w:shd w:val="clear" w:color="auto" w:fill="FFFFFF"/>
        </w:rPr>
        <w:t>.</w:t>
      </w:r>
    </w:p>
    <w:p w14:paraId="1D0FF2B2" w14:textId="77777777" w:rsidR="00322036" w:rsidRDefault="00322036" w:rsidP="006C346A">
      <w:pPr>
        <w:spacing w:after="0" w:line="300" w:lineRule="exact"/>
        <w:rPr>
          <w:rFonts w:ascii="Calibri" w:eastAsia="Times New Roman" w:hAnsi="Calibri" w:cs="Arial"/>
          <w:sz w:val="24"/>
          <w:szCs w:val="24"/>
          <w:shd w:val="clear" w:color="auto" w:fill="FFFFFF"/>
        </w:rPr>
      </w:pPr>
    </w:p>
    <w:p w14:paraId="4EA1C93F" w14:textId="551372B1" w:rsidR="006C346A" w:rsidRPr="006C346A" w:rsidRDefault="006C346A" w:rsidP="006C346A">
      <w:pPr>
        <w:spacing w:after="0" w:line="300" w:lineRule="exact"/>
        <w:rPr>
          <w:rFonts w:ascii="Calibri" w:eastAsia="Times New Roman" w:hAnsi="Calibri" w:cs="Arial"/>
          <w:sz w:val="24"/>
          <w:szCs w:val="24"/>
          <w:shd w:val="clear" w:color="auto" w:fill="FFFFFF"/>
        </w:rPr>
      </w:pPr>
      <w:r w:rsidRPr="006C346A">
        <w:rPr>
          <w:rFonts w:ascii="Calibri" w:eastAsia="Times New Roman" w:hAnsi="Calibri" w:cs="Arial"/>
          <w:sz w:val="24"/>
          <w:szCs w:val="24"/>
          <w:shd w:val="clear" w:color="auto" w:fill="FFFFFF"/>
        </w:rPr>
        <w:t xml:space="preserve">Direct Payments are payments made to </w:t>
      </w:r>
      <w:r w:rsidR="004F6F73">
        <w:rPr>
          <w:rFonts w:ascii="Calibri" w:eastAsia="Times New Roman" w:hAnsi="Calibri" w:cs="Arial"/>
          <w:sz w:val="24"/>
          <w:szCs w:val="24"/>
          <w:shd w:val="clear" w:color="auto" w:fill="FFFFFF"/>
        </w:rPr>
        <w:t xml:space="preserve">the person </w:t>
      </w:r>
      <w:r w:rsidRPr="006C346A">
        <w:rPr>
          <w:rFonts w:ascii="Calibri" w:eastAsia="Times New Roman" w:hAnsi="Calibri" w:cs="Arial"/>
          <w:sz w:val="24"/>
          <w:szCs w:val="24"/>
          <w:shd w:val="clear" w:color="auto" w:fill="FFFFFF"/>
        </w:rPr>
        <w:t xml:space="preserve">to meet some or </w:t>
      </w:r>
      <w:proofErr w:type="gramStart"/>
      <w:r w:rsidRPr="006C346A">
        <w:rPr>
          <w:rFonts w:ascii="Calibri" w:eastAsia="Times New Roman" w:hAnsi="Calibri" w:cs="Arial"/>
          <w:sz w:val="24"/>
          <w:szCs w:val="24"/>
          <w:shd w:val="clear" w:color="auto" w:fill="FFFFFF"/>
        </w:rPr>
        <w:t>all of</w:t>
      </w:r>
      <w:proofErr w:type="gramEnd"/>
      <w:r w:rsidRPr="006C346A">
        <w:rPr>
          <w:rFonts w:ascii="Calibri" w:eastAsia="Times New Roman" w:hAnsi="Calibri" w:cs="Arial"/>
          <w:sz w:val="24"/>
          <w:szCs w:val="24"/>
          <w:shd w:val="clear" w:color="auto" w:fill="FFFFFF"/>
        </w:rPr>
        <w:t xml:space="preserve"> their unmet, eligible care and support needs. Direct Payments gives the person more choice and control in choosing their care support.</w:t>
      </w:r>
    </w:p>
    <w:p w14:paraId="791672FC" w14:textId="77777777" w:rsidR="00322036" w:rsidRDefault="00322036" w:rsidP="006C346A">
      <w:pPr>
        <w:spacing w:after="0" w:line="300" w:lineRule="exact"/>
        <w:rPr>
          <w:rFonts w:ascii="Calibri" w:eastAsia="Times New Roman" w:hAnsi="Calibri" w:cs="Arial"/>
          <w:sz w:val="24"/>
          <w:szCs w:val="24"/>
          <w:shd w:val="clear" w:color="auto" w:fill="FFFFFF"/>
        </w:rPr>
      </w:pPr>
    </w:p>
    <w:p w14:paraId="2FB25CB1" w14:textId="36284996" w:rsidR="006C346A" w:rsidRPr="006C346A" w:rsidRDefault="006C346A" w:rsidP="006C346A">
      <w:pPr>
        <w:spacing w:after="0" w:line="300" w:lineRule="exact"/>
        <w:rPr>
          <w:rFonts w:ascii="Calibri" w:eastAsia="Times New Roman" w:hAnsi="Calibri" w:cs="Arial"/>
          <w:sz w:val="24"/>
          <w:szCs w:val="24"/>
          <w:shd w:val="clear" w:color="auto" w:fill="FFFFFF"/>
        </w:rPr>
      </w:pPr>
      <w:r w:rsidRPr="006C346A">
        <w:rPr>
          <w:rFonts w:ascii="Calibri" w:eastAsia="Times New Roman" w:hAnsi="Calibri" w:cs="Arial"/>
          <w:sz w:val="24"/>
          <w:szCs w:val="24"/>
          <w:shd w:val="clear" w:color="auto" w:fill="FFFFFF"/>
        </w:rPr>
        <w:t>If the customer chooses to have a </w:t>
      </w:r>
      <w:r w:rsidRPr="00322036">
        <w:rPr>
          <w:rFonts w:ascii="Calibri" w:eastAsia="Times New Roman" w:hAnsi="Calibri" w:cs="Arial"/>
          <w:sz w:val="24"/>
          <w:szCs w:val="24"/>
          <w:shd w:val="clear" w:color="auto" w:fill="FFFFFF"/>
        </w:rPr>
        <w:t>Direct Payment</w:t>
      </w:r>
      <w:r w:rsidRPr="006C346A">
        <w:rPr>
          <w:rFonts w:ascii="Calibri" w:eastAsia="Times New Roman" w:hAnsi="Calibri" w:cs="Arial"/>
          <w:sz w:val="24"/>
          <w:szCs w:val="24"/>
          <w:shd w:val="clear" w:color="auto" w:fill="FFFFFF"/>
        </w:rPr>
        <w:t>, practitioners should ensure they provide them with copies of the Direct Payment Factsheet.</w:t>
      </w: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EEC3" w14:textId="77777777" w:rsidR="00AD581E" w:rsidRDefault="00AD581E" w:rsidP="004C7F65">
      <w:pPr>
        <w:spacing w:after="0" w:line="240" w:lineRule="auto"/>
      </w:pPr>
      <w:r>
        <w:separator/>
      </w:r>
    </w:p>
  </w:endnote>
  <w:endnote w:type="continuationSeparator" w:id="0">
    <w:p w14:paraId="71C5CA4B" w14:textId="77777777" w:rsidR="00AD581E" w:rsidRDefault="00AD581E"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52E89ADB" w:rsidR="00201D1C" w:rsidRPr="004C7F65" w:rsidRDefault="00725A5D"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Financial Considerations Regarding Non-Residential Care</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F99C" w14:textId="77777777" w:rsidR="00AD581E" w:rsidRDefault="00AD581E" w:rsidP="004C7F65">
      <w:pPr>
        <w:spacing w:after="0" w:line="240" w:lineRule="auto"/>
      </w:pPr>
      <w:r>
        <w:separator/>
      </w:r>
    </w:p>
  </w:footnote>
  <w:footnote w:type="continuationSeparator" w:id="0">
    <w:p w14:paraId="32533C1E" w14:textId="77777777" w:rsidR="00AD581E" w:rsidRDefault="00AD581E"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3976C08"/>
    <w:multiLevelType w:val="multilevel"/>
    <w:tmpl w:val="5B3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5" w15:restartNumberingAfterBreak="0">
    <w:nsid w:val="1EE43A48"/>
    <w:multiLevelType w:val="multilevel"/>
    <w:tmpl w:val="51F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C739C"/>
    <w:multiLevelType w:val="multilevel"/>
    <w:tmpl w:val="016A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3"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5" w15:restartNumberingAfterBreak="0">
    <w:nsid w:val="5D8D2F35"/>
    <w:multiLevelType w:val="multilevel"/>
    <w:tmpl w:val="A19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E30749"/>
    <w:multiLevelType w:val="multilevel"/>
    <w:tmpl w:val="51D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8" w15:restartNumberingAfterBreak="0">
    <w:nsid w:val="617F1FD2"/>
    <w:multiLevelType w:val="multilevel"/>
    <w:tmpl w:val="0B8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20" w15:restartNumberingAfterBreak="0">
    <w:nsid w:val="63F577FD"/>
    <w:multiLevelType w:val="multilevel"/>
    <w:tmpl w:val="003A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23"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6"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4"/>
  </w:num>
  <w:num w:numId="3" w16cid:durableId="1033963689">
    <w:abstractNumId w:val="17"/>
  </w:num>
  <w:num w:numId="4" w16cid:durableId="958995103">
    <w:abstractNumId w:val="25"/>
  </w:num>
  <w:num w:numId="5" w16cid:durableId="2123643863">
    <w:abstractNumId w:val="19"/>
  </w:num>
  <w:num w:numId="6" w16cid:durableId="1238705649">
    <w:abstractNumId w:val="4"/>
  </w:num>
  <w:num w:numId="7" w16cid:durableId="1069838794">
    <w:abstractNumId w:val="22"/>
  </w:num>
  <w:num w:numId="8" w16cid:durableId="1385983677">
    <w:abstractNumId w:val="12"/>
  </w:num>
  <w:num w:numId="9" w16cid:durableId="1388794807">
    <w:abstractNumId w:val="6"/>
  </w:num>
  <w:num w:numId="10" w16cid:durableId="870075807">
    <w:abstractNumId w:val="9"/>
  </w:num>
  <w:num w:numId="11" w16cid:durableId="554777016">
    <w:abstractNumId w:val="21"/>
  </w:num>
  <w:num w:numId="12" w16cid:durableId="1934630890">
    <w:abstractNumId w:val="24"/>
  </w:num>
  <w:num w:numId="13" w16cid:durableId="1357195818">
    <w:abstractNumId w:val="0"/>
  </w:num>
  <w:num w:numId="14" w16cid:durableId="226574053">
    <w:abstractNumId w:val="7"/>
  </w:num>
  <w:num w:numId="15" w16cid:durableId="11299298">
    <w:abstractNumId w:val="8"/>
  </w:num>
  <w:num w:numId="16" w16cid:durableId="39477149">
    <w:abstractNumId w:val="10"/>
  </w:num>
  <w:num w:numId="17" w16cid:durableId="1872064730">
    <w:abstractNumId w:val="23"/>
  </w:num>
  <w:num w:numId="18" w16cid:durableId="2041122275">
    <w:abstractNumId w:val="26"/>
  </w:num>
  <w:num w:numId="19" w16cid:durableId="205029213">
    <w:abstractNumId w:val="13"/>
  </w:num>
  <w:num w:numId="20" w16cid:durableId="1045763249">
    <w:abstractNumId w:val="3"/>
  </w:num>
  <w:num w:numId="21" w16cid:durableId="933052720">
    <w:abstractNumId w:val="5"/>
  </w:num>
  <w:num w:numId="22" w16cid:durableId="111287707">
    <w:abstractNumId w:val="18"/>
  </w:num>
  <w:num w:numId="23" w16cid:durableId="1807697969">
    <w:abstractNumId w:val="20"/>
  </w:num>
  <w:num w:numId="24" w16cid:durableId="1189487819">
    <w:abstractNumId w:val="2"/>
  </w:num>
  <w:num w:numId="25" w16cid:durableId="1867325753">
    <w:abstractNumId w:val="15"/>
  </w:num>
  <w:num w:numId="26" w16cid:durableId="983388056">
    <w:abstractNumId w:val="11"/>
  </w:num>
  <w:num w:numId="27" w16cid:durableId="13039992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35CE8"/>
    <w:rsid w:val="000500B8"/>
    <w:rsid w:val="00071918"/>
    <w:rsid w:val="000A3F6B"/>
    <w:rsid w:val="000A4DF3"/>
    <w:rsid w:val="000A5186"/>
    <w:rsid w:val="000B268F"/>
    <w:rsid w:val="000B5A95"/>
    <w:rsid w:val="000C4445"/>
    <w:rsid w:val="000F2C5A"/>
    <w:rsid w:val="000F4064"/>
    <w:rsid w:val="0010064B"/>
    <w:rsid w:val="00105E6D"/>
    <w:rsid w:val="00106A4F"/>
    <w:rsid w:val="00123209"/>
    <w:rsid w:val="001247DE"/>
    <w:rsid w:val="00126554"/>
    <w:rsid w:val="00126B02"/>
    <w:rsid w:val="001442FE"/>
    <w:rsid w:val="00151EC2"/>
    <w:rsid w:val="00180000"/>
    <w:rsid w:val="00184813"/>
    <w:rsid w:val="00193D8E"/>
    <w:rsid w:val="00197525"/>
    <w:rsid w:val="001A6974"/>
    <w:rsid w:val="001C0BBA"/>
    <w:rsid w:val="001C5323"/>
    <w:rsid w:val="001C5B63"/>
    <w:rsid w:val="001D5432"/>
    <w:rsid w:val="001E4F30"/>
    <w:rsid w:val="001E5C52"/>
    <w:rsid w:val="001F3B41"/>
    <w:rsid w:val="00201D1C"/>
    <w:rsid w:val="00203736"/>
    <w:rsid w:val="00217986"/>
    <w:rsid w:val="0022274F"/>
    <w:rsid w:val="00223B8A"/>
    <w:rsid w:val="00225E8A"/>
    <w:rsid w:val="00226593"/>
    <w:rsid w:val="002372B5"/>
    <w:rsid w:val="00240913"/>
    <w:rsid w:val="002426EE"/>
    <w:rsid w:val="00250B91"/>
    <w:rsid w:val="00284F39"/>
    <w:rsid w:val="0029015D"/>
    <w:rsid w:val="00297EBE"/>
    <w:rsid w:val="002A3F10"/>
    <w:rsid w:val="002B75DA"/>
    <w:rsid w:val="002C38EC"/>
    <w:rsid w:val="002E0EB3"/>
    <w:rsid w:val="002F0571"/>
    <w:rsid w:val="002F381F"/>
    <w:rsid w:val="00303E83"/>
    <w:rsid w:val="00310AF9"/>
    <w:rsid w:val="00322036"/>
    <w:rsid w:val="00326271"/>
    <w:rsid w:val="00340E01"/>
    <w:rsid w:val="003472E9"/>
    <w:rsid w:val="0035013E"/>
    <w:rsid w:val="00355AC9"/>
    <w:rsid w:val="00370AD8"/>
    <w:rsid w:val="00376019"/>
    <w:rsid w:val="003A143F"/>
    <w:rsid w:val="003A4C8C"/>
    <w:rsid w:val="003A57A8"/>
    <w:rsid w:val="003D7DBF"/>
    <w:rsid w:val="003E2042"/>
    <w:rsid w:val="003E5F49"/>
    <w:rsid w:val="00410417"/>
    <w:rsid w:val="0041388E"/>
    <w:rsid w:val="0041589E"/>
    <w:rsid w:val="00421F35"/>
    <w:rsid w:val="0042716F"/>
    <w:rsid w:val="004547D9"/>
    <w:rsid w:val="0046147C"/>
    <w:rsid w:val="0046230C"/>
    <w:rsid w:val="00462DAA"/>
    <w:rsid w:val="004867B8"/>
    <w:rsid w:val="0049325A"/>
    <w:rsid w:val="004C192C"/>
    <w:rsid w:val="004C40E8"/>
    <w:rsid w:val="004C7F65"/>
    <w:rsid w:val="004C7FAC"/>
    <w:rsid w:val="004D04E5"/>
    <w:rsid w:val="004D0CEF"/>
    <w:rsid w:val="004D4836"/>
    <w:rsid w:val="004D4A55"/>
    <w:rsid w:val="004D5B1A"/>
    <w:rsid w:val="004F6F73"/>
    <w:rsid w:val="005010A9"/>
    <w:rsid w:val="00506787"/>
    <w:rsid w:val="0051164C"/>
    <w:rsid w:val="00527CE3"/>
    <w:rsid w:val="005413B2"/>
    <w:rsid w:val="00542D8E"/>
    <w:rsid w:val="005463CC"/>
    <w:rsid w:val="00562477"/>
    <w:rsid w:val="00571BD5"/>
    <w:rsid w:val="00575E4E"/>
    <w:rsid w:val="0059131D"/>
    <w:rsid w:val="00591D3B"/>
    <w:rsid w:val="005A1A27"/>
    <w:rsid w:val="005A3FE8"/>
    <w:rsid w:val="005A7837"/>
    <w:rsid w:val="005B3B48"/>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C346A"/>
    <w:rsid w:val="006D3EE8"/>
    <w:rsid w:val="006E3E17"/>
    <w:rsid w:val="006F27F8"/>
    <w:rsid w:val="0072441F"/>
    <w:rsid w:val="00725A5D"/>
    <w:rsid w:val="00734815"/>
    <w:rsid w:val="00736AEF"/>
    <w:rsid w:val="0074121E"/>
    <w:rsid w:val="0074257D"/>
    <w:rsid w:val="00743742"/>
    <w:rsid w:val="007561BD"/>
    <w:rsid w:val="00767CBE"/>
    <w:rsid w:val="0078633F"/>
    <w:rsid w:val="0078640A"/>
    <w:rsid w:val="00787989"/>
    <w:rsid w:val="007A3322"/>
    <w:rsid w:val="007A4CA7"/>
    <w:rsid w:val="007B2277"/>
    <w:rsid w:val="007C05C0"/>
    <w:rsid w:val="007E6E73"/>
    <w:rsid w:val="007F4ED8"/>
    <w:rsid w:val="00801DB4"/>
    <w:rsid w:val="0082550E"/>
    <w:rsid w:val="00827829"/>
    <w:rsid w:val="008566A7"/>
    <w:rsid w:val="00856C8B"/>
    <w:rsid w:val="00857DA4"/>
    <w:rsid w:val="008771DB"/>
    <w:rsid w:val="008A09EA"/>
    <w:rsid w:val="008A4C4F"/>
    <w:rsid w:val="008B1869"/>
    <w:rsid w:val="008C0F3F"/>
    <w:rsid w:val="008C3C6D"/>
    <w:rsid w:val="008C532A"/>
    <w:rsid w:val="008C5888"/>
    <w:rsid w:val="008E33D8"/>
    <w:rsid w:val="008F0EDC"/>
    <w:rsid w:val="00922F22"/>
    <w:rsid w:val="00925599"/>
    <w:rsid w:val="009319DD"/>
    <w:rsid w:val="009323AF"/>
    <w:rsid w:val="009471D8"/>
    <w:rsid w:val="009804D6"/>
    <w:rsid w:val="0099200E"/>
    <w:rsid w:val="009C2693"/>
    <w:rsid w:val="009C414D"/>
    <w:rsid w:val="009C736E"/>
    <w:rsid w:val="009D36EC"/>
    <w:rsid w:val="009F5EC1"/>
    <w:rsid w:val="00A11E7E"/>
    <w:rsid w:val="00A13C9E"/>
    <w:rsid w:val="00A22E2C"/>
    <w:rsid w:val="00A36AA4"/>
    <w:rsid w:val="00A50DF2"/>
    <w:rsid w:val="00A57131"/>
    <w:rsid w:val="00A7039B"/>
    <w:rsid w:val="00A710D8"/>
    <w:rsid w:val="00A87EB1"/>
    <w:rsid w:val="00AA2FDA"/>
    <w:rsid w:val="00AA69D7"/>
    <w:rsid w:val="00AB6E5E"/>
    <w:rsid w:val="00AC1902"/>
    <w:rsid w:val="00AD476D"/>
    <w:rsid w:val="00AD581E"/>
    <w:rsid w:val="00AD6264"/>
    <w:rsid w:val="00AE633A"/>
    <w:rsid w:val="00AF486A"/>
    <w:rsid w:val="00B04A6F"/>
    <w:rsid w:val="00B0677C"/>
    <w:rsid w:val="00B112E3"/>
    <w:rsid w:val="00B1210F"/>
    <w:rsid w:val="00B231ED"/>
    <w:rsid w:val="00B375D5"/>
    <w:rsid w:val="00B37998"/>
    <w:rsid w:val="00B50DB1"/>
    <w:rsid w:val="00B57DA2"/>
    <w:rsid w:val="00B73E2D"/>
    <w:rsid w:val="00B82514"/>
    <w:rsid w:val="00B85E56"/>
    <w:rsid w:val="00B903EA"/>
    <w:rsid w:val="00B93670"/>
    <w:rsid w:val="00B97605"/>
    <w:rsid w:val="00BA21AF"/>
    <w:rsid w:val="00BB02AF"/>
    <w:rsid w:val="00BB7DA5"/>
    <w:rsid w:val="00BC2C1B"/>
    <w:rsid w:val="00BD3A49"/>
    <w:rsid w:val="00BF047C"/>
    <w:rsid w:val="00BF0A86"/>
    <w:rsid w:val="00BF6862"/>
    <w:rsid w:val="00C147BA"/>
    <w:rsid w:val="00C37A85"/>
    <w:rsid w:val="00C43BB2"/>
    <w:rsid w:val="00C4531F"/>
    <w:rsid w:val="00C45ABA"/>
    <w:rsid w:val="00C76915"/>
    <w:rsid w:val="00CA3EC0"/>
    <w:rsid w:val="00CA5496"/>
    <w:rsid w:val="00CA5B8F"/>
    <w:rsid w:val="00CB2A23"/>
    <w:rsid w:val="00D02972"/>
    <w:rsid w:val="00D12E21"/>
    <w:rsid w:val="00D31D5B"/>
    <w:rsid w:val="00D34590"/>
    <w:rsid w:val="00D37028"/>
    <w:rsid w:val="00D4144A"/>
    <w:rsid w:val="00D4684E"/>
    <w:rsid w:val="00D5589D"/>
    <w:rsid w:val="00D5785A"/>
    <w:rsid w:val="00D713A6"/>
    <w:rsid w:val="00D72EB2"/>
    <w:rsid w:val="00D901E3"/>
    <w:rsid w:val="00D90D9C"/>
    <w:rsid w:val="00DA1562"/>
    <w:rsid w:val="00DC39E8"/>
    <w:rsid w:val="00DC7698"/>
    <w:rsid w:val="00DE1BA4"/>
    <w:rsid w:val="00DE7B7B"/>
    <w:rsid w:val="00E07594"/>
    <w:rsid w:val="00E156FF"/>
    <w:rsid w:val="00E21150"/>
    <w:rsid w:val="00E55906"/>
    <w:rsid w:val="00E6120F"/>
    <w:rsid w:val="00E61838"/>
    <w:rsid w:val="00E6379D"/>
    <w:rsid w:val="00EA52DF"/>
    <w:rsid w:val="00EB6D54"/>
    <w:rsid w:val="00ED681D"/>
    <w:rsid w:val="00EE2C08"/>
    <w:rsid w:val="00EF1323"/>
    <w:rsid w:val="00F14339"/>
    <w:rsid w:val="00F21993"/>
    <w:rsid w:val="00F232B2"/>
    <w:rsid w:val="00F26E39"/>
    <w:rsid w:val="00F31929"/>
    <w:rsid w:val="00F37B5E"/>
    <w:rsid w:val="00F66275"/>
    <w:rsid w:val="00F75D6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284F3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 w:id="204998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shire.gov.uk/directory-record/61699/adult-care-charging-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ncolnshireadults.proceduresonline.antser.com/chapter/direct-pay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colnshirecc.sharepoint.com/sites/ACCW2/Shared%20Documents/Forms/AllItems.aspx?id=%2Fsites%2FACCW2%2FShared%20Documents%2FAdult%20Care%20and%20Community%20Wellbeing%20content%2FDocument%20library%20%28AC%20Manual%20etc%29%2FForms%20Library%20%28AC%20Manual%29%2FAdult%20Charging%20Waiver%20Policy%2Epdf&amp;parent=%2Fsites%2FACCW2%2FShared%20Documents%2FAdult%20Care%20and%20Community%20Wellbeing%20content%2FDocument%20library%20%28AC%20Manual%20etc%29%2FForms%20Library%20%28AC%20Manua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3.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4.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3</cp:revision>
  <cp:lastPrinted>2022-06-29T14:55:00Z</cp:lastPrinted>
  <dcterms:created xsi:type="dcterms:W3CDTF">2023-01-24T15:10:00Z</dcterms:created>
  <dcterms:modified xsi:type="dcterms:W3CDTF">2023-01-24T15:10:00Z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