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8C" w:rsidRPr="00267656" w:rsidRDefault="00A2658C" w:rsidP="00A2658C">
      <w:pPr>
        <w:spacing w:after="0" w:line="240" w:lineRule="auto"/>
        <w:jc w:val="both"/>
        <w:rPr>
          <w:rFonts w:eastAsia="Times New Roman" w:cs="Arial"/>
          <w:b/>
          <w:bCs/>
          <w:sz w:val="24"/>
          <w:szCs w:val="24"/>
          <w:lang w:eastAsia="en-GB"/>
        </w:rPr>
      </w:pPr>
      <w:bookmarkStart w:id="0" w:name="_Toc412744422"/>
      <w:r w:rsidRPr="00267656">
        <w:rPr>
          <w:rFonts w:eastAsia="Times New Roman" w:cs="Arial"/>
          <w:b/>
          <w:bCs/>
          <w:sz w:val="24"/>
          <w:szCs w:val="24"/>
          <w:lang w:eastAsia="en-GB"/>
        </w:rPr>
        <w:t>Appendix 1:</w:t>
      </w:r>
    </w:p>
    <w:p w:rsidR="00A2658C" w:rsidRPr="00267656" w:rsidRDefault="00A2658C" w:rsidP="00A2658C">
      <w:pPr>
        <w:spacing w:after="0" w:line="240" w:lineRule="auto"/>
        <w:jc w:val="both"/>
        <w:rPr>
          <w:rFonts w:eastAsia="Times New Roman" w:cs="Arial"/>
          <w:b/>
          <w:bCs/>
          <w:sz w:val="28"/>
          <w:szCs w:val="28"/>
          <w:lang w:eastAsia="en-GB"/>
        </w:rPr>
      </w:pPr>
      <w:r w:rsidRPr="00267656">
        <w:rPr>
          <w:rFonts w:eastAsia="Times New Roman" w:cs="Arial"/>
          <w:b/>
          <w:bCs/>
          <w:sz w:val="28"/>
          <w:szCs w:val="28"/>
          <w:lang w:eastAsia="en-GB"/>
        </w:rPr>
        <w:t>Pre and Current Missing Child Risk Assessment Record</w:t>
      </w:r>
      <w:bookmarkEnd w:id="0"/>
      <w:r w:rsidRPr="00267656">
        <w:rPr>
          <w:rFonts w:eastAsia="Times New Roman" w:cs="Arial"/>
          <w:b/>
          <w:bCs/>
          <w:sz w:val="28"/>
          <w:szCs w:val="28"/>
          <w:lang w:eastAsia="en-GB"/>
        </w:rPr>
        <w:t xml:space="preserve"> </w:t>
      </w:r>
    </w:p>
    <w:p w:rsidR="00A2658C"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Complete in advance, update and share with police and other agencies when missing. If there is a high likelihood that the child will go missing, this form can be shared with the police before the episode. This form can be filled in by social workers/parents/fosters carers/residential unit staff.</w:t>
      </w: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Parents/foster carers/residential unit staff should also complete the Information Sharing Form which has questions around current situation, including nicknames, social media accounts, up to date photograph.</w:t>
      </w: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 xml:space="preserve">If unsure if a child is missing or unauthorised absence, checks need to be made if their location is definitely known, if not known then police to be informed who will then make their own assessment. </w:t>
      </w: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This form can also help to establish what risks there are to a child and if it is a concerning unauthorised absence, in which case the police would need to informed.</w:t>
      </w: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Name of Child     __________________________________</w:t>
      </w: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Date   _____________________</w:t>
      </w: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Address ________________________________________</w:t>
      </w: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 xml:space="preserve">___________________________________________________________________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5220"/>
      </w:tblGrid>
      <w:tr w:rsidR="00A2658C" w:rsidRPr="00310135" w:rsidTr="00884698">
        <w:trPr>
          <w:trHeight w:val="449"/>
        </w:trPr>
        <w:tc>
          <w:tcPr>
            <w:tcW w:w="4248" w:type="dxa"/>
            <w:shd w:val="pct10" w:color="auto" w:fill="auto"/>
            <w:vAlign w:val="center"/>
          </w:tcPr>
          <w:p w:rsidR="00A2658C" w:rsidRPr="00310135" w:rsidRDefault="00A2658C" w:rsidP="00884698">
            <w:pPr>
              <w:spacing w:after="0" w:line="240" w:lineRule="auto"/>
              <w:jc w:val="both"/>
              <w:rPr>
                <w:rFonts w:eastAsia="Times New Roman" w:cs="Arial"/>
                <w:b/>
                <w:lang w:eastAsia="en-GB"/>
              </w:rPr>
            </w:pPr>
            <w:r w:rsidRPr="00310135">
              <w:rPr>
                <w:rFonts w:eastAsia="Times New Roman" w:cs="Arial"/>
                <w:b/>
                <w:lang w:eastAsia="en-GB"/>
              </w:rPr>
              <w:t>Factor</w:t>
            </w:r>
          </w:p>
        </w:tc>
        <w:tc>
          <w:tcPr>
            <w:tcW w:w="5220" w:type="dxa"/>
            <w:shd w:val="pct10" w:color="auto" w:fill="auto"/>
            <w:vAlign w:val="center"/>
          </w:tcPr>
          <w:p w:rsidR="00A2658C" w:rsidRPr="00310135" w:rsidRDefault="00A2658C" w:rsidP="00884698">
            <w:pPr>
              <w:spacing w:after="0" w:line="240" w:lineRule="auto"/>
              <w:jc w:val="both"/>
              <w:rPr>
                <w:rFonts w:eastAsia="Times New Roman" w:cs="Arial"/>
                <w:b/>
                <w:lang w:eastAsia="en-GB"/>
              </w:rPr>
            </w:pPr>
            <w:r w:rsidRPr="00310135">
              <w:rPr>
                <w:rFonts w:eastAsia="Times New Roman" w:cs="Arial"/>
                <w:b/>
                <w:lang w:eastAsia="en-GB"/>
              </w:rPr>
              <w:t>Details and Explanation</w:t>
            </w: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10 years old or under</w:t>
            </w:r>
          </w:p>
          <w:p w:rsidR="00A2658C" w:rsidRPr="00310135" w:rsidRDefault="00A2658C" w:rsidP="00884698">
            <w:pPr>
              <w:spacing w:after="0" w:line="240" w:lineRule="auto"/>
              <w:jc w:val="both"/>
              <w:rPr>
                <w:rFonts w:eastAsia="Times New Roman" w:cs="Arial"/>
                <w:lang w:eastAsia="en-GB"/>
              </w:rPr>
            </w:pP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11 to 14 years of age</w:t>
            </w:r>
          </w:p>
          <w:p w:rsidR="00A2658C" w:rsidRPr="00310135" w:rsidRDefault="00A2658C" w:rsidP="00884698">
            <w:pPr>
              <w:spacing w:after="0" w:line="240" w:lineRule="auto"/>
              <w:jc w:val="both"/>
              <w:rPr>
                <w:rFonts w:eastAsia="Times New Roman" w:cs="Arial"/>
                <w:lang w:eastAsia="en-GB"/>
              </w:rPr>
            </w:pP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15 up to 18 years of age</w:t>
            </w:r>
          </w:p>
          <w:p w:rsidR="00A2658C" w:rsidRPr="00310135" w:rsidRDefault="00A2658C" w:rsidP="00884698">
            <w:pPr>
              <w:spacing w:after="0" w:line="240" w:lineRule="auto"/>
              <w:jc w:val="both"/>
              <w:rPr>
                <w:rFonts w:eastAsia="Times New Roman" w:cs="Arial"/>
                <w:lang w:eastAsia="en-GB"/>
              </w:rPr>
            </w:pP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 xml:space="preserve">Has a Child Protection Plan </w:t>
            </w:r>
          </w:p>
          <w:p w:rsidR="00A2658C" w:rsidRPr="00310135" w:rsidRDefault="00A2658C" w:rsidP="00884698">
            <w:pPr>
              <w:spacing w:after="0" w:line="240" w:lineRule="auto"/>
              <w:jc w:val="both"/>
              <w:rPr>
                <w:rFonts w:eastAsia="Times New Roman" w:cs="Arial"/>
                <w:lang w:eastAsia="en-GB"/>
              </w:rPr>
            </w:pP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Needs essential medication or treatment not readily available to them e.g. asthma inhaler, insulin</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 xml:space="preserve">May not have the physical ability to interact safely with others or in an unknown environment, e.g. visually impaired, history of abuse or inappropriate adult/stranger relationships, </w:t>
            </w:r>
            <w:proofErr w:type="spellStart"/>
            <w:r w:rsidRPr="00310135">
              <w:rPr>
                <w:rFonts w:eastAsia="Times New Roman" w:cs="Arial"/>
                <w:lang w:eastAsia="en-GB"/>
              </w:rPr>
              <w:t>Downs</w:t>
            </w:r>
            <w:proofErr w:type="spellEnd"/>
            <w:r w:rsidRPr="00310135">
              <w:rPr>
                <w:rFonts w:eastAsia="Times New Roman" w:cs="Arial"/>
                <w:lang w:eastAsia="en-GB"/>
              </w:rPr>
              <w:t xml:space="preserve"> Syndrome etc.</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Lacks reasonable awareness of the risks associated with running away, incl. learning disabled</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lastRenderedPageBreak/>
              <w:t>Known to associate with adults or children who present a risk of harm e.g. Sexual Offenders, Offenders against children</w:t>
            </w:r>
          </w:p>
          <w:p w:rsidR="00A2658C" w:rsidRPr="00310135" w:rsidRDefault="00A2658C" w:rsidP="00884698">
            <w:pPr>
              <w:spacing w:after="0" w:line="240" w:lineRule="auto"/>
              <w:jc w:val="both"/>
              <w:rPr>
                <w:rFonts w:eastAsia="Times New Roman" w:cs="Arial"/>
                <w:lang w:eastAsia="en-GB"/>
              </w:rPr>
            </w:pPr>
          </w:p>
        </w:tc>
        <w:tc>
          <w:tcPr>
            <w:tcW w:w="5220" w:type="dxa"/>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Mental illness or psychological disorder that may increase risk of harm to themselves or others</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97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Drugs and/or alcohol dependency</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Suspicion of abduction</w:t>
            </w:r>
          </w:p>
          <w:p w:rsidR="00A2658C" w:rsidRPr="00310135" w:rsidRDefault="00A2658C" w:rsidP="00884698">
            <w:pPr>
              <w:spacing w:after="0" w:line="240" w:lineRule="auto"/>
              <w:jc w:val="both"/>
              <w:rPr>
                <w:rFonts w:eastAsia="Times New Roman" w:cs="Arial"/>
                <w:lang w:eastAsia="en-GB"/>
              </w:rPr>
            </w:pP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Suspected suicide or self-harm</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Involved in violent and/or racial incident or confrontation immediately prior to disappearance</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Concerns about state of mind e.g. unusual behaviour prior to disappearance or disappeared with no prior indication, or seemed troubled etc.</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Inclement weather conditions where exposure would seriously increase risk to health</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Family/relationship problems or recent history of family conflict/abuse</w:t>
            </w: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Employment problems</w:t>
            </w:r>
          </w:p>
          <w:p w:rsidR="00A2658C" w:rsidRPr="00310135" w:rsidRDefault="00A2658C" w:rsidP="00884698">
            <w:pPr>
              <w:spacing w:after="0" w:line="240" w:lineRule="auto"/>
              <w:jc w:val="both"/>
              <w:rPr>
                <w:rFonts w:eastAsia="Times New Roman" w:cs="Arial"/>
                <w:lang w:eastAsia="en-GB"/>
              </w:rPr>
            </w:pP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 xml:space="preserve">Financial problems </w:t>
            </w:r>
          </w:p>
          <w:p w:rsidR="00A2658C" w:rsidRPr="00310135" w:rsidRDefault="00A2658C" w:rsidP="00884698">
            <w:pPr>
              <w:spacing w:after="0" w:line="240" w:lineRule="auto"/>
              <w:jc w:val="both"/>
              <w:rPr>
                <w:rFonts w:eastAsia="Times New Roman" w:cs="Arial"/>
                <w:lang w:eastAsia="en-GB"/>
              </w:rPr>
            </w:pPr>
          </w:p>
        </w:tc>
        <w:tc>
          <w:tcPr>
            <w:tcW w:w="5220" w:type="dxa"/>
            <w:tcBorders>
              <w:bottom w:val="single" w:sz="4" w:space="0" w:color="auto"/>
            </w:tcBorders>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School or college problems</w:t>
            </w:r>
          </w:p>
        </w:tc>
        <w:tc>
          <w:tcPr>
            <w:tcW w:w="5220" w:type="dxa"/>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On-going victim of bullying, harassment, or exploitation e.g. racial, sexual etc.</w:t>
            </w:r>
          </w:p>
        </w:tc>
        <w:tc>
          <w:tcPr>
            <w:tcW w:w="5220" w:type="dxa"/>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lastRenderedPageBreak/>
              <w:t>Previously disappeared and suffered or was exposed to harm whilst missing</w:t>
            </w:r>
          </w:p>
        </w:tc>
        <w:tc>
          <w:tcPr>
            <w:tcW w:w="5220" w:type="dxa"/>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 xml:space="preserve">Victim or potential victim, of forced marriage, FGM or trafficking, incl. for sexual exploitation </w:t>
            </w:r>
          </w:p>
        </w:tc>
        <w:tc>
          <w:tcPr>
            <w:tcW w:w="5220" w:type="dxa"/>
          </w:tcPr>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1069"/>
        </w:trPr>
        <w:tc>
          <w:tcPr>
            <w:tcW w:w="4248" w:type="dxa"/>
          </w:tcPr>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Known to associate with gang members and other violent offenders</w:t>
            </w:r>
          </w:p>
        </w:tc>
        <w:tc>
          <w:tcPr>
            <w:tcW w:w="5220" w:type="dxa"/>
          </w:tcPr>
          <w:p w:rsidR="00A2658C" w:rsidRPr="00310135" w:rsidRDefault="00A2658C" w:rsidP="00884698">
            <w:pPr>
              <w:spacing w:after="0" w:line="240" w:lineRule="auto"/>
              <w:jc w:val="both"/>
              <w:rPr>
                <w:rFonts w:eastAsia="Times New Roman" w:cs="Arial"/>
                <w:lang w:eastAsia="en-GB"/>
              </w:rPr>
            </w:pPr>
          </w:p>
        </w:tc>
      </w:tr>
    </w:tbl>
    <w:p w:rsidR="00A2658C" w:rsidRPr="00267656" w:rsidRDefault="00A2658C" w:rsidP="00A2658C">
      <w:pPr>
        <w:spacing w:after="0" w:line="240" w:lineRule="auto"/>
        <w:jc w:val="both"/>
        <w:rPr>
          <w:rFonts w:eastAsia="Times New Roman" w:cs="Arial"/>
          <w:b/>
          <w:lang w:eastAsia="en-GB"/>
        </w:rPr>
      </w:pPr>
    </w:p>
    <w:p w:rsidR="00A2658C" w:rsidRPr="00267656" w:rsidRDefault="00A2658C" w:rsidP="00A2658C">
      <w:pPr>
        <w:spacing w:after="0" w:line="240" w:lineRule="auto"/>
        <w:jc w:val="both"/>
        <w:rPr>
          <w:rFonts w:eastAsia="Times New Roman" w:cs="Arial"/>
          <w:b/>
          <w:lang w:eastAsia="en-GB"/>
        </w:rPr>
      </w:pPr>
    </w:p>
    <w:p w:rsidR="00A2658C" w:rsidRPr="00267656" w:rsidRDefault="00A2658C" w:rsidP="00A2658C">
      <w:pPr>
        <w:spacing w:after="0" w:line="240" w:lineRule="auto"/>
        <w:jc w:val="both"/>
        <w:rPr>
          <w:rFonts w:eastAsia="Times New Roman" w:cs="Arial"/>
          <w:vanish/>
          <w:lang w:eastAsia="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4"/>
        <w:gridCol w:w="4734"/>
      </w:tblGrid>
      <w:tr w:rsidR="00A2658C" w:rsidRPr="00310135" w:rsidTr="00884698">
        <w:trPr>
          <w:trHeight w:val="473"/>
        </w:trPr>
        <w:tc>
          <w:tcPr>
            <w:tcW w:w="9468" w:type="dxa"/>
            <w:gridSpan w:val="2"/>
            <w:tcBorders>
              <w:top w:val="single" w:sz="4" w:space="0" w:color="auto"/>
              <w:left w:val="nil"/>
              <w:bottom w:val="single" w:sz="4" w:space="0" w:color="auto"/>
              <w:right w:val="nil"/>
            </w:tcBorders>
          </w:tcPr>
          <w:p w:rsidR="00A2658C" w:rsidRPr="00310135" w:rsidRDefault="00A2658C" w:rsidP="00884698">
            <w:pPr>
              <w:spacing w:after="0" w:line="240" w:lineRule="auto"/>
              <w:jc w:val="both"/>
              <w:rPr>
                <w:rFonts w:eastAsia="Times New Roman" w:cs="Arial"/>
                <w:b/>
                <w:lang w:eastAsia="en-GB"/>
              </w:rPr>
            </w:pPr>
            <w:r w:rsidRPr="00310135">
              <w:rPr>
                <w:rFonts w:eastAsia="Times New Roman" w:cs="Arial"/>
                <w:b/>
                <w:lang w:eastAsia="en-GB"/>
              </w:rPr>
              <w:t>Summary of Risk</w:t>
            </w:r>
          </w:p>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(Summarise the risks in a couple of sentences)</w:t>
            </w:r>
          </w:p>
          <w:p w:rsidR="00A2658C" w:rsidRPr="00310135" w:rsidRDefault="00A2658C" w:rsidP="00884698">
            <w:pPr>
              <w:spacing w:after="0" w:line="240" w:lineRule="auto"/>
              <w:jc w:val="both"/>
              <w:rPr>
                <w:rFonts w:eastAsia="Times New Roman" w:cs="Arial"/>
                <w:lang w:eastAsia="en-GB"/>
              </w:rPr>
            </w:pPr>
          </w:p>
          <w:p w:rsidR="00A2658C" w:rsidRPr="00310135" w:rsidRDefault="00A2658C" w:rsidP="00884698">
            <w:pPr>
              <w:spacing w:after="0" w:line="240" w:lineRule="auto"/>
              <w:jc w:val="both"/>
              <w:rPr>
                <w:rFonts w:eastAsia="Times New Roman" w:cs="Arial"/>
                <w:lang w:eastAsia="en-GB"/>
              </w:rPr>
            </w:pPr>
          </w:p>
          <w:p w:rsidR="00A2658C" w:rsidRPr="00310135" w:rsidRDefault="00A2658C" w:rsidP="00884698">
            <w:pPr>
              <w:spacing w:after="0" w:line="240" w:lineRule="auto"/>
              <w:jc w:val="both"/>
              <w:rPr>
                <w:rFonts w:eastAsia="Times New Roman" w:cs="Arial"/>
                <w:lang w:eastAsia="en-GB"/>
              </w:rPr>
            </w:pPr>
          </w:p>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473"/>
        </w:trPr>
        <w:tc>
          <w:tcPr>
            <w:tcW w:w="9468" w:type="dxa"/>
            <w:gridSpan w:val="2"/>
            <w:tcBorders>
              <w:top w:val="single" w:sz="4" w:space="0" w:color="auto"/>
              <w:left w:val="nil"/>
              <w:bottom w:val="single" w:sz="4" w:space="0" w:color="auto"/>
              <w:right w:val="nil"/>
            </w:tcBorders>
          </w:tcPr>
          <w:p w:rsidR="00A2658C" w:rsidRPr="00310135" w:rsidRDefault="00A2658C" w:rsidP="00884698">
            <w:pPr>
              <w:spacing w:after="0" w:line="240" w:lineRule="auto"/>
              <w:jc w:val="both"/>
              <w:rPr>
                <w:rFonts w:eastAsia="Times New Roman" w:cs="Arial"/>
                <w:b/>
                <w:lang w:eastAsia="en-GB"/>
              </w:rPr>
            </w:pPr>
            <w:r w:rsidRPr="00310135">
              <w:rPr>
                <w:rFonts w:eastAsia="Times New Roman" w:cs="Arial"/>
                <w:b/>
                <w:lang w:eastAsia="en-GB"/>
              </w:rPr>
              <w:t>Summary of Actions Taken</w:t>
            </w:r>
          </w:p>
          <w:p w:rsidR="00A2658C" w:rsidRPr="00310135" w:rsidRDefault="00A2658C" w:rsidP="00884698">
            <w:pPr>
              <w:spacing w:after="0" w:line="240" w:lineRule="auto"/>
              <w:jc w:val="both"/>
              <w:rPr>
                <w:rFonts w:eastAsia="Times New Roman" w:cs="Arial"/>
                <w:lang w:eastAsia="en-GB"/>
              </w:rPr>
            </w:pPr>
            <w:r w:rsidRPr="00310135">
              <w:rPr>
                <w:rFonts w:eastAsia="Times New Roman" w:cs="Arial"/>
                <w:lang w:eastAsia="en-GB"/>
              </w:rPr>
              <w:t>Include attempts to talk to child on mobile phone and attempts to contact friends &amp; family</w:t>
            </w:r>
          </w:p>
          <w:p w:rsidR="00A2658C" w:rsidRPr="00310135" w:rsidRDefault="00A2658C" w:rsidP="00884698">
            <w:pPr>
              <w:spacing w:after="0" w:line="240" w:lineRule="auto"/>
              <w:jc w:val="both"/>
              <w:rPr>
                <w:rFonts w:eastAsia="Times New Roman" w:cs="Arial"/>
                <w:lang w:eastAsia="en-GB"/>
              </w:rPr>
            </w:pPr>
          </w:p>
          <w:p w:rsidR="00A2658C" w:rsidRPr="00310135" w:rsidRDefault="00A2658C" w:rsidP="00884698">
            <w:pPr>
              <w:spacing w:after="0" w:line="240" w:lineRule="auto"/>
              <w:jc w:val="both"/>
              <w:rPr>
                <w:rFonts w:eastAsia="Times New Roman" w:cs="Arial"/>
                <w:lang w:eastAsia="en-GB"/>
              </w:rPr>
            </w:pPr>
          </w:p>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473"/>
        </w:trPr>
        <w:tc>
          <w:tcPr>
            <w:tcW w:w="9468" w:type="dxa"/>
            <w:gridSpan w:val="2"/>
            <w:tcBorders>
              <w:top w:val="single" w:sz="4" w:space="0" w:color="auto"/>
              <w:left w:val="nil"/>
              <w:bottom w:val="single" w:sz="4" w:space="0" w:color="auto"/>
              <w:right w:val="nil"/>
            </w:tcBorders>
          </w:tcPr>
          <w:p w:rsidR="00A2658C" w:rsidRPr="00310135" w:rsidRDefault="00A2658C" w:rsidP="00884698">
            <w:pPr>
              <w:spacing w:after="0" w:line="240" w:lineRule="auto"/>
              <w:jc w:val="both"/>
              <w:rPr>
                <w:rFonts w:eastAsia="Times New Roman" w:cs="Arial"/>
                <w:b/>
                <w:lang w:eastAsia="en-GB"/>
              </w:rPr>
            </w:pPr>
            <w:r w:rsidRPr="00310135">
              <w:rPr>
                <w:rFonts w:eastAsia="Times New Roman" w:cs="Arial"/>
                <w:b/>
                <w:lang w:eastAsia="en-GB"/>
              </w:rPr>
              <w:t>Review Date for Actions Decided</w:t>
            </w:r>
          </w:p>
          <w:p w:rsidR="00A2658C" w:rsidRPr="00310135" w:rsidRDefault="00A2658C" w:rsidP="00884698">
            <w:pPr>
              <w:spacing w:after="0" w:line="240" w:lineRule="auto"/>
              <w:jc w:val="both"/>
              <w:rPr>
                <w:rFonts w:eastAsia="Times New Roman" w:cs="Arial"/>
                <w:lang w:eastAsia="en-GB"/>
              </w:rPr>
            </w:pPr>
          </w:p>
        </w:tc>
      </w:tr>
      <w:tr w:rsidR="00A2658C" w:rsidRPr="00310135" w:rsidTr="00884698">
        <w:trPr>
          <w:trHeight w:val="662"/>
        </w:trPr>
        <w:tc>
          <w:tcPr>
            <w:tcW w:w="4734" w:type="dxa"/>
            <w:tcBorders>
              <w:top w:val="single" w:sz="4" w:space="0" w:color="auto"/>
              <w:left w:val="nil"/>
              <w:bottom w:val="single" w:sz="4" w:space="0" w:color="auto"/>
              <w:right w:val="single" w:sz="4" w:space="0" w:color="auto"/>
            </w:tcBorders>
          </w:tcPr>
          <w:p w:rsidR="00A2658C" w:rsidRPr="00310135" w:rsidRDefault="00A2658C" w:rsidP="00884698">
            <w:pPr>
              <w:spacing w:after="0" w:line="240" w:lineRule="auto"/>
              <w:jc w:val="both"/>
              <w:rPr>
                <w:rFonts w:eastAsia="Times New Roman" w:cs="Arial"/>
                <w:b/>
                <w:lang w:eastAsia="en-GB"/>
              </w:rPr>
            </w:pPr>
            <w:r w:rsidRPr="00310135">
              <w:rPr>
                <w:rFonts w:eastAsia="Times New Roman" w:cs="Arial"/>
                <w:b/>
                <w:lang w:eastAsia="en-GB"/>
              </w:rPr>
              <w:t>Completed by, full name</w:t>
            </w:r>
          </w:p>
        </w:tc>
        <w:tc>
          <w:tcPr>
            <w:tcW w:w="4734" w:type="dxa"/>
            <w:tcBorders>
              <w:top w:val="single" w:sz="4" w:space="0" w:color="auto"/>
              <w:left w:val="single" w:sz="4" w:space="0" w:color="auto"/>
              <w:bottom w:val="single" w:sz="4" w:space="0" w:color="auto"/>
              <w:right w:val="nil"/>
            </w:tcBorders>
          </w:tcPr>
          <w:p w:rsidR="00A2658C" w:rsidRPr="00310135" w:rsidRDefault="00A2658C" w:rsidP="00884698">
            <w:pPr>
              <w:spacing w:after="0" w:line="240" w:lineRule="auto"/>
              <w:jc w:val="both"/>
              <w:rPr>
                <w:rFonts w:eastAsia="Times New Roman" w:cs="Arial"/>
                <w:b/>
                <w:lang w:eastAsia="en-GB"/>
              </w:rPr>
            </w:pPr>
            <w:r w:rsidRPr="00310135">
              <w:rPr>
                <w:rFonts w:eastAsia="Times New Roman" w:cs="Arial"/>
                <w:b/>
                <w:lang w:eastAsia="en-GB"/>
              </w:rPr>
              <w:t>Signature</w:t>
            </w:r>
          </w:p>
        </w:tc>
      </w:tr>
    </w:tbl>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lang w:eastAsia="en-GB"/>
        </w:rPr>
        <w:t xml:space="preserve">This Risk Assessment is an aid to action and for information sharing and recording. </w:t>
      </w:r>
    </w:p>
    <w:p w:rsidR="00A2658C" w:rsidRPr="00267656" w:rsidRDefault="00A2658C" w:rsidP="00A2658C">
      <w:pPr>
        <w:spacing w:after="0" w:line="240" w:lineRule="auto"/>
        <w:jc w:val="both"/>
        <w:rPr>
          <w:rFonts w:eastAsia="Times New Roman" w:cs="Arial"/>
          <w:lang w:eastAsia="en-GB"/>
        </w:rPr>
      </w:pPr>
    </w:p>
    <w:p w:rsidR="00A2658C" w:rsidRPr="00267656" w:rsidRDefault="00A2658C" w:rsidP="00A2658C">
      <w:pPr>
        <w:spacing w:after="0" w:line="240" w:lineRule="auto"/>
        <w:jc w:val="both"/>
        <w:rPr>
          <w:rFonts w:eastAsia="Times New Roman" w:cs="Arial"/>
          <w:lang w:eastAsia="en-GB"/>
        </w:rPr>
      </w:pPr>
      <w:r w:rsidRPr="00267656">
        <w:rPr>
          <w:rFonts w:eastAsia="Times New Roman" w:cs="Arial"/>
          <w:b/>
          <w:lang w:eastAsia="en-GB"/>
        </w:rPr>
        <w:t xml:space="preserve">Aid to action: </w:t>
      </w:r>
      <w:r w:rsidRPr="00267656">
        <w:rPr>
          <w:rFonts w:eastAsia="Times New Roman" w:cs="Arial"/>
          <w:lang w:eastAsia="en-GB"/>
        </w:rPr>
        <w:t>As an action tool the purpose of the Risk Assessment is to inform single and multi-agency agency decision-making and planning to locate a ‘</w:t>
      </w:r>
      <w:r w:rsidRPr="00267656">
        <w:rPr>
          <w:rFonts w:eastAsia="Times New Roman" w:cs="Arial"/>
          <w:b/>
          <w:lang w:eastAsia="en-GB"/>
        </w:rPr>
        <w:t>missing</w:t>
      </w:r>
      <w:r w:rsidRPr="00267656">
        <w:rPr>
          <w:rFonts w:eastAsia="Times New Roman" w:cs="Arial"/>
          <w:lang w:eastAsia="en-GB"/>
        </w:rPr>
        <w:t>’ child. The Risk Assessment provides an indication of:</w:t>
      </w:r>
    </w:p>
    <w:p w:rsidR="00A2658C" w:rsidRPr="00267656" w:rsidRDefault="00A2658C" w:rsidP="00A2658C">
      <w:pPr>
        <w:numPr>
          <w:ilvl w:val="1"/>
          <w:numId w:val="1"/>
        </w:numPr>
        <w:tabs>
          <w:tab w:val="clear" w:pos="814"/>
          <w:tab w:val="num" w:pos="720"/>
        </w:tabs>
        <w:spacing w:after="0" w:line="240" w:lineRule="auto"/>
        <w:jc w:val="both"/>
        <w:rPr>
          <w:rFonts w:eastAsia="Times New Roman" w:cs="Arial"/>
          <w:lang w:eastAsia="en-GB"/>
        </w:rPr>
      </w:pPr>
      <w:r w:rsidRPr="00267656">
        <w:rPr>
          <w:rFonts w:eastAsia="Times New Roman" w:cs="Arial"/>
          <w:lang w:eastAsia="en-GB"/>
        </w:rPr>
        <w:t>The urgency of inquiries</w:t>
      </w:r>
    </w:p>
    <w:p w:rsidR="00A2658C" w:rsidRPr="00267656" w:rsidRDefault="00A2658C" w:rsidP="00A2658C">
      <w:pPr>
        <w:numPr>
          <w:ilvl w:val="1"/>
          <w:numId w:val="1"/>
        </w:numPr>
        <w:tabs>
          <w:tab w:val="clear" w:pos="814"/>
          <w:tab w:val="num" w:pos="720"/>
        </w:tabs>
        <w:spacing w:after="0" w:line="240" w:lineRule="auto"/>
        <w:jc w:val="both"/>
        <w:rPr>
          <w:rFonts w:eastAsia="Times New Roman" w:cs="Arial"/>
          <w:lang w:eastAsia="en-GB"/>
        </w:rPr>
      </w:pPr>
      <w:r w:rsidRPr="00267656">
        <w:rPr>
          <w:rFonts w:eastAsia="Times New Roman" w:cs="Arial"/>
          <w:lang w:eastAsia="en-GB"/>
        </w:rPr>
        <w:t xml:space="preserve">Areas of inquiry e.g. where drugs are available or that certain adults frequent, country of origin or country children are trafficked on to etc. </w:t>
      </w:r>
    </w:p>
    <w:p w:rsidR="00A2658C" w:rsidRPr="00267656" w:rsidRDefault="00A2658C" w:rsidP="00A2658C">
      <w:pPr>
        <w:numPr>
          <w:ilvl w:val="1"/>
          <w:numId w:val="1"/>
        </w:numPr>
        <w:tabs>
          <w:tab w:val="clear" w:pos="814"/>
          <w:tab w:val="num" w:pos="720"/>
        </w:tabs>
        <w:spacing w:after="0" w:line="240" w:lineRule="auto"/>
        <w:jc w:val="both"/>
        <w:rPr>
          <w:rFonts w:eastAsia="Times New Roman" w:cs="Arial"/>
          <w:lang w:eastAsia="en-GB"/>
        </w:rPr>
      </w:pPr>
      <w:r w:rsidRPr="00267656">
        <w:rPr>
          <w:rFonts w:eastAsia="Times New Roman" w:cs="Arial"/>
          <w:lang w:eastAsia="en-GB"/>
        </w:rPr>
        <w:t>Type of specialist knowledge that might be needed</w:t>
      </w:r>
    </w:p>
    <w:p w:rsidR="00A2658C" w:rsidRPr="00267656" w:rsidRDefault="00A2658C" w:rsidP="00A2658C">
      <w:pPr>
        <w:numPr>
          <w:ilvl w:val="1"/>
          <w:numId w:val="1"/>
        </w:numPr>
        <w:tabs>
          <w:tab w:val="clear" w:pos="814"/>
          <w:tab w:val="num" w:pos="720"/>
        </w:tabs>
        <w:spacing w:after="0" w:line="240" w:lineRule="auto"/>
        <w:jc w:val="both"/>
        <w:rPr>
          <w:rFonts w:eastAsia="Times New Roman" w:cs="Arial"/>
          <w:lang w:eastAsia="en-GB"/>
        </w:rPr>
      </w:pPr>
      <w:r w:rsidRPr="00267656">
        <w:rPr>
          <w:rFonts w:eastAsia="Times New Roman" w:cs="Arial"/>
          <w:lang w:eastAsia="en-GB"/>
        </w:rPr>
        <w:t xml:space="preserve">The supervision that may be required </w:t>
      </w:r>
    </w:p>
    <w:p w:rsidR="00A2658C" w:rsidRPr="00267656" w:rsidRDefault="00A2658C" w:rsidP="00A2658C">
      <w:pPr>
        <w:numPr>
          <w:ilvl w:val="1"/>
          <w:numId w:val="1"/>
        </w:numPr>
        <w:tabs>
          <w:tab w:val="clear" w:pos="814"/>
          <w:tab w:val="num" w:pos="720"/>
        </w:tabs>
        <w:spacing w:after="0" w:line="240" w:lineRule="auto"/>
        <w:jc w:val="both"/>
        <w:rPr>
          <w:rFonts w:eastAsia="Times New Roman" w:cs="Arial"/>
          <w:lang w:eastAsia="en-GB"/>
        </w:rPr>
      </w:pPr>
      <w:r w:rsidRPr="00267656">
        <w:rPr>
          <w:rFonts w:eastAsia="Times New Roman" w:cs="Arial"/>
          <w:lang w:eastAsia="en-GB"/>
        </w:rPr>
        <w:t>Agencies who may be first alerted e.g. local Accident &amp; Emergency services</w:t>
      </w:r>
    </w:p>
    <w:p w:rsidR="00A2658C" w:rsidRPr="00267656" w:rsidRDefault="00A2658C" w:rsidP="00A2658C">
      <w:pPr>
        <w:spacing w:after="0" w:line="240" w:lineRule="auto"/>
        <w:jc w:val="both"/>
        <w:rPr>
          <w:rFonts w:eastAsia="Times New Roman" w:cs="Arial"/>
          <w:b/>
          <w:lang w:eastAsia="en-GB"/>
        </w:rPr>
      </w:pPr>
    </w:p>
    <w:p w:rsidR="00C84C15" w:rsidRDefault="00A2658C" w:rsidP="00A2658C">
      <w:r w:rsidRPr="00267656">
        <w:rPr>
          <w:rFonts w:eastAsia="Times New Roman" w:cs="Arial"/>
          <w:b/>
          <w:lang w:eastAsia="en-GB"/>
        </w:rPr>
        <w:t xml:space="preserve">Aid for information sharing and recording: </w:t>
      </w:r>
      <w:r w:rsidRPr="00267656">
        <w:rPr>
          <w:rFonts w:eastAsia="Times New Roman" w:cs="Arial"/>
          <w:lang w:eastAsia="en-GB"/>
        </w:rPr>
        <w:t>At the time that a child goes ‘</w:t>
      </w:r>
      <w:r w:rsidRPr="00267656">
        <w:rPr>
          <w:rFonts w:eastAsia="Times New Roman" w:cs="Arial"/>
          <w:b/>
          <w:i/>
          <w:lang w:eastAsia="en-GB"/>
        </w:rPr>
        <w:t>missing</w:t>
      </w:r>
      <w:r w:rsidRPr="00267656">
        <w:rPr>
          <w:rFonts w:eastAsia="Times New Roman" w:cs="Arial"/>
          <w:lang w:eastAsia="en-GB"/>
        </w:rPr>
        <w:t>’ the completed Risk Assessment should be shared with all agencies working with the child and kept on the child’s file in each agency. In cases where new information becomes available and/or the child remains absent for a protracted period, the risks should be re-assessed, shared with the agencies and kept on the child’s file in each agency. The most recently completed Risk Assessment should remain on the child’s file in all agencies working with the child.</w:t>
      </w:r>
    </w:p>
    <w:sectPr w:rsidR="00C84C15" w:rsidSect="00C84C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B54BB"/>
    <w:multiLevelType w:val="hybridMultilevel"/>
    <w:tmpl w:val="038EB93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814"/>
        </w:tabs>
        <w:ind w:left="814" w:hanging="360"/>
      </w:pPr>
      <w:rPr>
        <w:rFonts w:ascii="Symbol" w:hAnsi="Symbol" w:hint="default"/>
      </w:rPr>
    </w:lvl>
    <w:lvl w:ilvl="2" w:tplc="3AE8416C">
      <w:start w:val="1"/>
      <w:numFmt w:val="lowerLetter"/>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2658C"/>
    <w:rsid w:val="009462E3"/>
    <w:rsid w:val="00A2658C"/>
    <w:rsid w:val="00C84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8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SXJZJSQ2YJM5-499006958-205879</_dlc_DocId>
    <_dlc_DocIdUrl xmlns="14ef3b5f-6ca1-4c1c-a353-a1c338ccc666">
      <Url>https://antsertech.sharepoint.com/sites/TriXData2/_layouts/15/DocIdRedir.aspx?ID=SXJZJSQ2YJM5-499006958-205879</Url>
      <Description>SXJZJSQ2YJM5-499006958-205879</Description>
    </_dlc_DocIdUrl>
  </documentManagement>
</p:properties>
</file>

<file path=customXml/itemProps1.xml><?xml version="1.0" encoding="utf-8"?>
<ds:datastoreItem xmlns:ds="http://schemas.openxmlformats.org/officeDocument/2006/customXml" ds:itemID="{90045ECA-2E2D-4494-B02A-55337C9669DA}"/>
</file>

<file path=customXml/itemProps2.xml><?xml version="1.0" encoding="utf-8"?>
<ds:datastoreItem xmlns:ds="http://schemas.openxmlformats.org/officeDocument/2006/customXml" ds:itemID="{CA95F31C-B32E-4726-99B8-3331BBF9BDBA}"/>
</file>

<file path=customXml/itemProps3.xml><?xml version="1.0" encoding="utf-8"?>
<ds:datastoreItem xmlns:ds="http://schemas.openxmlformats.org/officeDocument/2006/customXml" ds:itemID="{D22B8083-5EB7-4778-BF2E-3198C33B6CEC}"/>
</file>

<file path=customXml/itemProps4.xml><?xml version="1.0" encoding="utf-8"?>
<ds:datastoreItem xmlns:ds="http://schemas.openxmlformats.org/officeDocument/2006/customXml" ds:itemID="{248EE92C-D503-40C1-A725-ED796CA7BD88}"/>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Cole</dc:creator>
  <cp:lastModifiedBy>Gregory Cole</cp:lastModifiedBy>
  <cp:revision>1</cp:revision>
  <dcterms:created xsi:type="dcterms:W3CDTF">2017-05-16T13:43:00Z</dcterms:created>
  <dcterms:modified xsi:type="dcterms:W3CDTF">2017-05-16T13:44:00Z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20587900</vt:r8>
  </property>
  <property fmtid="{D5CDD505-2E9C-101B-9397-08002B2CF9AE}" pid="4" name="_dlc_DocIdItemGuid">
    <vt:lpwstr>95737929-a501-5925-a611-f78d5dd977db</vt:lpwstr>
  </property>
</Properties>
</file>