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6E2B" w14:textId="51B967AE" w:rsidR="00032CD3" w:rsidRDefault="00032CD3" w:rsidP="00032CD3">
      <w:pPr>
        <w:spacing w:line="360" w:lineRule="auto"/>
        <w:ind w:left="2880" w:firstLine="720"/>
        <w:jc w:val="right"/>
        <w:rPr>
          <w:rFonts w:cstheme="minorHAnsi"/>
          <w:b/>
          <w:bCs/>
          <w:color w:val="5A5B5B"/>
          <w:sz w:val="24"/>
          <w:szCs w:val="24"/>
        </w:rPr>
      </w:pPr>
      <w:r w:rsidRPr="00106B8A">
        <w:rPr>
          <w:rFonts w:cstheme="minorHAnsi"/>
          <w:noProof/>
        </w:rPr>
        <w:drawing>
          <wp:anchor distT="0" distB="0" distL="114300" distR="114300" simplePos="0" relativeHeight="251659264" behindDoc="0" locked="0" layoutInCell="1" allowOverlap="1" wp14:anchorId="5C7BDB9D" wp14:editId="16A4EE14">
            <wp:simplePos x="0" y="0"/>
            <wp:positionH relativeFrom="margin">
              <wp:align>right</wp:align>
            </wp:positionH>
            <wp:positionV relativeFrom="paragraph">
              <wp:posOffset>0</wp:posOffset>
            </wp:positionV>
            <wp:extent cx="2200275" cy="70993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709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2E6C">
        <w:rPr>
          <w:rFonts w:cstheme="minorHAnsi"/>
          <w:b/>
          <w:bCs/>
          <w:color w:val="5A5B5B"/>
          <w:sz w:val="24"/>
          <w:szCs w:val="24"/>
        </w:rPr>
        <w:t xml:space="preserve">    </w:t>
      </w:r>
    </w:p>
    <w:p w14:paraId="7ADE17F2" w14:textId="77777777" w:rsidR="00032CD3" w:rsidRDefault="00032CD3" w:rsidP="00032CD3">
      <w:pPr>
        <w:spacing w:line="360" w:lineRule="auto"/>
        <w:ind w:left="2880" w:firstLine="720"/>
        <w:jc w:val="right"/>
        <w:rPr>
          <w:rFonts w:cstheme="minorHAnsi"/>
          <w:b/>
          <w:bCs/>
          <w:color w:val="5A5B5B"/>
          <w:sz w:val="24"/>
          <w:szCs w:val="24"/>
        </w:rPr>
      </w:pPr>
    </w:p>
    <w:p w14:paraId="3549A530" w14:textId="77777777" w:rsidR="00032CD3" w:rsidRPr="00CE671A" w:rsidRDefault="00032CD3" w:rsidP="00032CD3">
      <w:pPr>
        <w:jc w:val="right"/>
        <w:rPr>
          <w:rFonts w:cstheme="minorHAnsi"/>
          <w:i/>
          <w:iCs/>
          <w:color w:val="800000"/>
          <w:sz w:val="36"/>
          <w:szCs w:val="36"/>
        </w:rPr>
      </w:pPr>
      <w:r w:rsidRPr="00CE671A">
        <w:rPr>
          <w:rFonts w:cstheme="minorHAnsi"/>
          <w:i/>
          <w:iCs/>
          <w:color w:val="800000"/>
          <w:sz w:val="36"/>
          <w:szCs w:val="36"/>
        </w:rPr>
        <w:t>Youth Offending Service</w:t>
      </w:r>
    </w:p>
    <w:p w14:paraId="6552E918" w14:textId="77777777" w:rsidR="00032CD3" w:rsidRDefault="00032CD3" w:rsidP="00032CD3">
      <w:pPr>
        <w:spacing w:line="360" w:lineRule="auto"/>
        <w:ind w:left="2880" w:firstLine="720"/>
        <w:jc w:val="both"/>
        <w:rPr>
          <w:rFonts w:cstheme="minorHAnsi"/>
          <w:b/>
          <w:bCs/>
          <w:color w:val="5A5B5B"/>
          <w:sz w:val="24"/>
          <w:szCs w:val="24"/>
        </w:rPr>
      </w:pPr>
    </w:p>
    <w:p w14:paraId="38C52293" w14:textId="77777777" w:rsidR="00032CD3" w:rsidRDefault="00032CD3" w:rsidP="00032CD3">
      <w:pPr>
        <w:spacing w:line="360" w:lineRule="auto"/>
        <w:ind w:left="2880" w:firstLine="720"/>
        <w:jc w:val="both"/>
        <w:rPr>
          <w:rFonts w:cstheme="minorHAnsi"/>
          <w:b/>
          <w:bCs/>
          <w:color w:val="5A5B5B"/>
          <w:sz w:val="24"/>
          <w:szCs w:val="24"/>
        </w:rPr>
      </w:pPr>
    </w:p>
    <w:p w14:paraId="7DCC279B" w14:textId="77777777" w:rsidR="00032CD3" w:rsidRDefault="00032CD3" w:rsidP="00032CD3">
      <w:pPr>
        <w:spacing w:line="360" w:lineRule="auto"/>
        <w:ind w:left="2880" w:firstLine="720"/>
        <w:jc w:val="both"/>
        <w:rPr>
          <w:rFonts w:cstheme="minorHAnsi"/>
          <w:b/>
          <w:bCs/>
          <w:color w:val="5A5B5B"/>
          <w:sz w:val="24"/>
          <w:szCs w:val="24"/>
        </w:rPr>
      </w:pPr>
    </w:p>
    <w:p w14:paraId="1C186D15" w14:textId="77777777" w:rsidR="00F14EC2" w:rsidRDefault="00F14EC2" w:rsidP="00032CD3">
      <w:pPr>
        <w:spacing w:line="360" w:lineRule="auto"/>
        <w:ind w:left="2880" w:firstLine="720"/>
        <w:jc w:val="both"/>
        <w:rPr>
          <w:rFonts w:cstheme="minorHAnsi"/>
          <w:b/>
          <w:bCs/>
          <w:color w:val="5A5B5B"/>
          <w:sz w:val="24"/>
          <w:szCs w:val="24"/>
        </w:rPr>
      </w:pPr>
    </w:p>
    <w:tbl>
      <w:tblPr>
        <w:tblpPr w:leftFromText="180" w:rightFromText="180" w:vertAnchor="text" w:horzAnchor="margin" w:tblpX="279" w:tblpY="424"/>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7"/>
      </w:tblGrid>
      <w:tr w:rsidR="00032CD3" w14:paraId="38719BA8" w14:textId="77777777" w:rsidTr="009B42F2">
        <w:trPr>
          <w:trHeight w:val="1535"/>
        </w:trPr>
        <w:tc>
          <w:tcPr>
            <w:tcW w:w="9497" w:type="dxa"/>
            <w:shd w:val="clear" w:color="auto" w:fill="FF0000"/>
          </w:tcPr>
          <w:p w14:paraId="701D7732" w14:textId="77777777" w:rsidR="00032CD3" w:rsidRDefault="00032CD3" w:rsidP="009B42F2">
            <w:pPr>
              <w:spacing w:line="360" w:lineRule="auto"/>
              <w:jc w:val="center"/>
              <w:rPr>
                <w:rFonts w:ascii="Arial" w:hAnsi="Arial" w:cs="Arial"/>
                <w:b/>
                <w:color w:val="FFFFFF" w:themeColor="background1"/>
                <w:sz w:val="40"/>
                <w:szCs w:val="40"/>
              </w:rPr>
            </w:pPr>
          </w:p>
          <w:p w14:paraId="3572BEB0" w14:textId="77777777" w:rsidR="00032CD3" w:rsidRPr="00F14EC2" w:rsidRDefault="00032CD3" w:rsidP="009B42F2">
            <w:pPr>
              <w:spacing w:line="360" w:lineRule="auto"/>
              <w:jc w:val="center"/>
              <w:rPr>
                <w:rFonts w:cstheme="minorHAnsi"/>
                <w:b/>
                <w:color w:val="FFFFFF" w:themeColor="background1"/>
                <w:sz w:val="40"/>
                <w:szCs w:val="40"/>
              </w:rPr>
            </w:pPr>
            <w:r w:rsidRPr="00F14EC2">
              <w:rPr>
                <w:rFonts w:cstheme="minorHAnsi"/>
                <w:b/>
                <w:color w:val="FFFFFF" w:themeColor="background1"/>
                <w:sz w:val="40"/>
                <w:szCs w:val="40"/>
              </w:rPr>
              <w:t>HRP (High Risk Panel)</w:t>
            </w:r>
          </w:p>
          <w:p w14:paraId="0E0A33CB" w14:textId="77777777" w:rsidR="00032CD3" w:rsidRPr="00BE100A" w:rsidRDefault="00032CD3" w:rsidP="009B42F2">
            <w:pPr>
              <w:spacing w:line="360" w:lineRule="auto"/>
              <w:ind w:left="-15"/>
              <w:jc w:val="center"/>
              <w:rPr>
                <w:rFonts w:cstheme="minorHAnsi"/>
                <w:b/>
                <w:bCs/>
                <w:color w:val="FFFFFF" w:themeColor="background1"/>
                <w:sz w:val="56"/>
                <w:szCs w:val="56"/>
              </w:rPr>
            </w:pPr>
            <w:r w:rsidRPr="00F14EC2">
              <w:rPr>
                <w:rFonts w:cstheme="minorHAnsi"/>
                <w:b/>
                <w:color w:val="FFFFFF" w:themeColor="background1"/>
                <w:sz w:val="40"/>
                <w:szCs w:val="40"/>
              </w:rPr>
              <w:t>Policy / Procedure</w:t>
            </w:r>
            <w:r w:rsidRPr="00F14EC2">
              <w:rPr>
                <w:rFonts w:cstheme="minorHAnsi"/>
                <w:b/>
                <w:bCs/>
                <w:color w:val="FFFFFF" w:themeColor="background1"/>
                <w:sz w:val="56"/>
                <w:szCs w:val="56"/>
              </w:rPr>
              <w:t xml:space="preserve"> </w:t>
            </w:r>
          </w:p>
        </w:tc>
      </w:tr>
    </w:tbl>
    <w:p w14:paraId="796D5C9C" w14:textId="50CB5CEB" w:rsidR="00032CD3" w:rsidRDefault="00262E6C" w:rsidP="00032CD3">
      <w:pPr>
        <w:spacing w:line="360" w:lineRule="auto"/>
        <w:ind w:left="2880" w:firstLine="720"/>
        <w:jc w:val="both"/>
        <w:rPr>
          <w:rFonts w:cstheme="minorHAnsi"/>
          <w:b/>
          <w:bCs/>
          <w:color w:val="5A5B5B"/>
          <w:sz w:val="24"/>
          <w:szCs w:val="24"/>
        </w:rPr>
      </w:pPr>
      <w:r>
        <w:rPr>
          <w:rFonts w:cstheme="minorHAnsi"/>
          <w:b/>
          <w:bCs/>
          <w:color w:val="5A5B5B"/>
          <w:sz w:val="24"/>
          <w:szCs w:val="24"/>
        </w:rPr>
        <w:t xml:space="preserve"> </w:t>
      </w:r>
    </w:p>
    <w:p w14:paraId="7386D20B" w14:textId="77777777" w:rsidR="00032CD3" w:rsidRDefault="00032CD3" w:rsidP="00032CD3">
      <w:pPr>
        <w:spacing w:line="360" w:lineRule="auto"/>
        <w:ind w:left="2880" w:firstLine="720"/>
        <w:jc w:val="both"/>
        <w:rPr>
          <w:rFonts w:cstheme="minorHAnsi"/>
          <w:b/>
          <w:bCs/>
          <w:color w:val="5A5B5B"/>
          <w:sz w:val="24"/>
          <w:szCs w:val="24"/>
        </w:rPr>
      </w:pPr>
    </w:p>
    <w:p w14:paraId="1634D620" w14:textId="77777777" w:rsidR="00032CD3" w:rsidRDefault="00032CD3" w:rsidP="00032CD3">
      <w:pPr>
        <w:spacing w:line="360" w:lineRule="auto"/>
        <w:ind w:left="2880" w:firstLine="720"/>
        <w:jc w:val="both"/>
        <w:rPr>
          <w:rFonts w:cstheme="minorHAnsi"/>
          <w:b/>
          <w:bCs/>
          <w:color w:val="5A5B5B"/>
          <w:sz w:val="24"/>
          <w:szCs w:val="24"/>
        </w:rPr>
      </w:pPr>
    </w:p>
    <w:p w14:paraId="04075349" w14:textId="77777777" w:rsidR="00032CD3" w:rsidRDefault="00032CD3" w:rsidP="00032CD3">
      <w:pPr>
        <w:spacing w:line="360" w:lineRule="auto"/>
        <w:ind w:left="2880" w:firstLine="720"/>
        <w:jc w:val="both"/>
        <w:rPr>
          <w:rFonts w:cstheme="minorHAnsi"/>
          <w:b/>
          <w:bCs/>
          <w:color w:val="5A5B5B"/>
          <w:sz w:val="24"/>
          <w:szCs w:val="24"/>
        </w:rPr>
      </w:pPr>
    </w:p>
    <w:p w14:paraId="2812B9D7" w14:textId="77777777" w:rsidR="00032CD3" w:rsidRDefault="00032CD3" w:rsidP="00032CD3">
      <w:pPr>
        <w:spacing w:line="360" w:lineRule="auto"/>
        <w:ind w:left="2880" w:firstLine="720"/>
        <w:jc w:val="both"/>
        <w:rPr>
          <w:rFonts w:cstheme="minorHAnsi"/>
          <w:b/>
          <w:bCs/>
          <w:color w:val="5A5B5B"/>
          <w:sz w:val="24"/>
          <w:szCs w:val="24"/>
        </w:rPr>
      </w:pPr>
    </w:p>
    <w:p w14:paraId="717027EC" w14:textId="77777777" w:rsidR="00032CD3" w:rsidRDefault="00032CD3" w:rsidP="00032CD3">
      <w:pPr>
        <w:spacing w:line="360" w:lineRule="auto"/>
        <w:ind w:left="2880" w:firstLine="720"/>
        <w:jc w:val="both"/>
        <w:rPr>
          <w:rFonts w:cstheme="minorHAnsi"/>
          <w:b/>
          <w:bCs/>
          <w:color w:val="5A5B5B"/>
          <w:sz w:val="24"/>
          <w:szCs w:val="24"/>
        </w:rPr>
      </w:pPr>
    </w:p>
    <w:p w14:paraId="76B87920" w14:textId="77777777" w:rsidR="00032CD3" w:rsidRDefault="00032CD3" w:rsidP="00032CD3">
      <w:pPr>
        <w:rPr>
          <w:sz w:val="40"/>
          <w:szCs w:val="40"/>
        </w:rPr>
      </w:pPr>
    </w:p>
    <w:tbl>
      <w:tblPr>
        <w:tblpPr w:leftFromText="180" w:rightFromText="180" w:vertAnchor="text" w:horzAnchor="margin" w:tblpY="600"/>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551"/>
        <w:gridCol w:w="2835"/>
      </w:tblGrid>
      <w:tr w:rsidR="00032CD3" w:rsidRPr="00F14EC2" w14:paraId="59C991AB" w14:textId="77777777" w:rsidTr="00283302">
        <w:trPr>
          <w:cantSplit/>
          <w:trHeight w:val="397"/>
        </w:trPr>
        <w:tc>
          <w:tcPr>
            <w:tcW w:w="4395" w:type="dxa"/>
            <w:tcBorders>
              <w:top w:val="nil"/>
              <w:left w:val="nil"/>
              <w:bottom w:val="nil"/>
              <w:right w:val="single" w:sz="4" w:space="0" w:color="auto"/>
            </w:tcBorders>
            <w:vAlign w:val="center"/>
          </w:tcPr>
          <w:p w14:paraId="1E0BAC26" w14:textId="77777777" w:rsidR="00032CD3" w:rsidRPr="00F14EC2" w:rsidRDefault="00032CD3" w:rsidP="00D60B83">
            <w:pPr>
              <w:pStyle w:val="TableText"/>
              <w:rPr>
                <w:rFonts w:asciiTheme="minorHAnsi" w:hAnsiTheme="minorHAnsi" w:cstheme="minorHAnsi"/>
                <w:sz w:val="24"/>
                <w:szCs w:val="24"/>
              </w:rPr>
            </w:pPr>
          </w:p>
        </w:tc>
        <w:tc>
          <w:tcPr>
            <w:tcW w:w="25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0D7FA75" w14:textId="77777777" w:rsidR="00032CD3" w:rsidRPr="00F14EC2" w:rsidRDefault="00032CD3" w:rsidP="003D42FF">
            <w:pPr>
              <w:pStyle w:val="TableText"/>
              <w:spacing w:line="360" w:lineRule="auto"/>
              <w:rPr>
                <w:rFonts w:asciiTheme="minorHAnsi" w:hAnsiTheme="minorHAnsi" w:cstheme="minorHAnsi"/>
                <w:sz w:val="24"/>
                <w:szCs w:val="24"/>
              </w:rPr>
            </w:pPr>
            <w:r w:rsidRPr="00F14EC2">
              <w:rPr>
                <w:rFonts w:asciiTheme="minorHAnsi" w:hAnsiTheme="minorHAnsi" w:cstheme="minorHAnsi"/>
                <w:sz w:val="24"/>
                <w:szCs w:val="24"/>
              </w:rPr>
              <w:t>Effective Date:</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B02D60" w14:textId="77777777" w:rsidR="00032CD3" w:rsidRPr="00F14EC2" w:rsidRDefault="00032CD3" w:rsidP="003D42FF">
            <w:pPr>
              <w:pStyle w:val="TableText"/>
              <w:spacing w:line="360" w:lineRule="auto"/>
              <w:rPr>
                <w:rFonts w:asciiTheme="minorHAnsi" w:hAnsiTheme="minorHAnsi" w:cstheme="minorHAnsi"/>
                <w:bCs/>
                <w:sz w:val="24"/>
                <w:szCs w:val="24"/>
              </w:rPr>
            </w:pPr>
            <w:r w:rsidRPr="00F14EC2">
              <w:rPr>
                <w:rFonts w:asciiTheme="minorHAnsi" w:hAnsiTheme="minorHAnsi" w:cstheme="minorHAnsi"/>
                <w:bCs/>
                <w:sz w:val="24"/>
                <w:szCs w:val="24"/>
              </w:rPr>
              <w:t>01/07/2020</w:t>
            </w:r>
          </w:p>
        </w:tc>
      </w:tr>
      <w:tr w:rsidR="00032CD3" w:rsidRPr="00F14EC2" w14:paraId="5D96BC2C" w14:textId="77777777" w:rsidTr="00283302">
        <w:trPr>
          <w:cantSplit/>
          <w:trHeight w:val="397"/>
        </w:trPr>
        <w:tc>
          <w:tcPr>
            <w:tcW w:w="4395" w:type="dxa"/>
            <w:tcBorders>
              <w:top w:val="nil"/>
              <w:left w:val="nil"/>
              <w:bottom w:val="nil"/>
              <w:right w:val="single" w:sz="4" w:space="0" w:color="auto"/>
            </w:tcBorders>
            <w:vAlign w:val="center"/>
          </w:tcPr>
          <w:p w14:paraId="24E62623" w14:textId="77777777" w:rsidR="00032CD3" w:rsidRPr="00F14EC2" w:rsidRDefault="00032CD3" w:rsidP="00D60B83">
            <w:pPr>
              <w:pStyle w:val="TableText"/>
              <w:rPr>
                <w:rFonts w:asciiTheme="minorHAnsi" w:hAnsiTheme="minorHAnsi" w:cstheme="minorHAnsi"/>
                <w:sz w:val="24"/>
                <w:szCs w:val="24"/>
              </w:rPr>
            </w:pPr>
          </w:p>
        </w:tc>
        <w:tc>
          <w:tcPr>
            <w:tcW w:w="25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C51DE77" w14:textId="77777777" w:rsidR="00032CD3" w:rsidRPr="00F14EC2" w:rsidRDefault="00032CD3" w:rsidP="003D42FF">
            <w:pPr>
              <w:pStyle w:val="TableText"/>
              <w:spacing w:line="360" w:lineRule="auto"/>
              <w:rPr>
                <w:rFonts w:asciiTheme="minorHAnsi" w:hAnsiTheme="minorHAnsi" w:cstheme="minorHAnsi"/>
                <w:sz w:val="24"/>
                <w:szCs w:val="24"/>
              </w:rPr>
            </w:pPr>
            <w:r w:rsidRPr="00F14EC2">
              <w:rPr>
                <w:rFonts w:asciiTheme="minorHAnsi" w:hAnsiTheme="minorHAnsi" w:cstheme="minorHAnsi"/>
                <w:sz w:val="24"/>
                <w:szCs w:val="24"/>
              </w:rPr>
              <w:t>Document Author</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D03539" w14:textId="77777777" w:rsidR="00032CD3" w:rsidRPr="00F14EC2" w:rsidRDefault="00D4760A" w:rsidP="004054C1">
            <w:pPr>
              <w:pStyle w:val="TableText"/>
              <w:rPr>
                <w:rFonts w:asciiTheme="minorHAnsi" w:hAnsiTheme="minorHAnsi" w:cstheme="minorHAnsi"/>
                <w:bCs/>
                <w:sz w:val="24"/>
                <w:szCs w:val="24"/>
              </w:rPr>
            </w:pPr>
            <w:r>
              <w:rPr>
                <w:rFonts w:asciiTheme="minorHAnsi" w:hAnsiTheme="minorHAnsi" w:cstheme="minorHAnsi"/>
                <w:bCs/>
                <w:sz w:val="24"/>
                <w:szCs w:val="24"/>
              </w:rPr>
              <w:t>Linda Crawford</w:t>
            </w:r>
            <w:r w:rsidR="004054C1">
              <w:rPr>
                <w:rFonts w:asciiTheme="minorHAnsi" w:hAnsiTheme="minorHAnsi" w:cstheme="minorHAnsi"/>
                <w:bCs/>
                <w:sz w:val="24"/>
                <w:szCs w:val="24"/>
              </w:rPr>
              <w:t>, Head of Service, YOS</w:t>
            </w:r>
          </w:p>
        </w:tc>
      </w:tr>
    </w:tbl>
    <w:p w14:paraId="7ABDD679" w14:textId="77777777" w:rsidR="00032CD3" w:rsidRPr="00F14EC2" w:rsidRDefault="00032CD3" w:rsidP="00032CD3">
      <w:pPr>
        <w:spacing w:line="360" w:lineRule="auto"/>
        <w:jc w:val="both"/>
        <w:rPr>
          <w:rFonts w:cstheme="minorHAnsi"/>
          <w:b/>
          <w:bCs/>
          <w:color w:val="5A5B5B"/>
          <w:sz w:val="24"/>
          <w:szCs w:val="24"/>
        </w:rPr>
      </w:pPr>
    </w:p>
    <w:p w14:paraId="5FD9CEC6" w14:textId="77777777" w:rsidR="00032CD3" w:rsidRDefault="00032CD3"/>
    <w:tbl>
      <w:tblPr>
        <w:tblW w:w="10774" w:type="dxa"/>
        <w:tblInd w:w="-459" w:type="dxa"/>
        <w:tblLayout w:type="fixed"/>
        <w:tblLook w:val="00A0" w:firstRow="1" w:lastRow="0" w:firstColumn="1" w:lastColumn="0" w:noHBand="0" w:noVBand="0"/>
      </w:tblPr>
      <w:tblGrid>
        <w:gridCol w:w="10348"/>
        <w:gridCol w:w="426"/>
      </w:tblGrid>
      <w:tr w:rsidR="00B23AF3" w:rsidRPr="00832F8F" w14:paraId="2B89DB89" w14:textId="77777777" w:rsidTr="004A26D5">
        <w:trPr>
          <w:trHeight w:val="3921"/>
        </w:trPr>
        <w:tc>
          <w:tcPr>
            <w:tcW w:w="10348" w:type="dxa"/>
          </w:tcPr>
          <w:p w14:paraId="41DE74A5" w14:textId="77777777" w:rsidR="00B23AF3" w:rsidRPr="00FE47D6" w:rsidRDefault="00B23AF3" w:rsidP="002B1744">
            <w:pPr>
              <w:pStyle w:val="NoSpacing"/>
              <w:spacing w:line="360" w:lineRule="auto"/>
              <w:rPr>
                <w:b/>
                <w:sz w:val="32"/>
                <w:szCs w:val="32"/>
              </w:rPr>
            </w:pPr>
            <w:r w:rsidRPr="00FE47D6">
              <w:rPr>
                <w:b/>
                <w:sz w:val="32"/>
                <w:szCs w:val="32"/>
              </w:rPr>
              <w:lastRenderedPageBreak/>
              <w:t>Introduction</w:t>
            </w:r>
          </w:p>
          <w:p w14:paraId="0E2DBB4E" w14:textId="77777777" w:rsidR="000B0294" w:rsidRPr="00C304E2" w:rsidRDefault="000B0294" w:rsidP="002B1744">
            <w:pPr>
              <w:pStyle w:val="NoSpacing"/>
              <w:spacing w:line="360" w:lineRule="auto"/>
              <w:rPr>
                <w:b/>
                <w:sz w:val="24"/>
                <w:szCs w:val="24"/>
              </w:rPr>
            </w:pPr>
          </w:p>
          <w:p w14:paraId="0B775F41" w14:textId="77777777" w:rsidR="00B23AF3" w:rsidRPr="00FE47D6" w:rsidRDefault="00B23AF3" w:rsidP="002B1744">
            <w:pPr>
              <w:pStyle w:val="NoSpacing"/>
              <w:spacing w:line="360" w:lineRule="auto"/>
              <w:rPr>
                <w:b/>
                <w:sz w:val="28"/>
                <w:szCs w:val="28"/>
              </w:rPr>
            </w:pPr>
            <w:r w:rsidRPr="00FE47D6">
              <w:rPr>
                <w:b/>
                <w:sz w:val="28"/>
                <w:szCs w:val="28"/>
              </w:rPr>
              <w:t>Terms of Reference</w:t>
            </w:r>
          </w:p>
          <w:p w14:paraId="7D8DF1C3" w14:textId="77777777" w:rsidR="000B0294" w:rsidRPr="00C304E2" w:rsidRDefault="000B0294" w:rsidP="002B1744">
            <w:pPr>
              <w:pStyle w:val="NoSpacing"/>
              <w:spacing w:line="360" w:lineRule="auto"/>
              <w:rPr>
                <w:rFonts w:cs="Calibri"/>
                <w:sz w:val="24"/>
                <w:szCs w:val="24"/>
              </w:rPr>
            </w:pPr>
          </w:p>
          <w:p w14:paraId="4980CC09" w14:textId="77777777" w:rsidR="00B23AF3" w:rsidRPr="00FE47D6" w:rsidRDefault="00B23AF3" w:rsidP="002B1744">
            <w:pPr>
              <w:pStyle w:val="NoSpacing"/>
              <w:spacing w:line="360" w:lineRule="auto"/>
              <w:rPr>
                <w:sz w:val="24"/>
                <w:szCs w:val="24"/>
              </w:rPr>
            </w:pPr>
            <w:r w:rsidRPr="00FE47D6">
              <w:rPr>
                <w:sz w:val="24"/>
                <w:szCs w:val="24"/>
              </w:rPr>
              <w:t xml:space="preserve">The High Risk Panel (HRP) </w:t>
            </w:r>
            <w:r w:rsidR="00F57B18" w:rsidRPr="00FE47D6">
              <w:rPr>
                <w:sz w:val="24"/>
                <w:szCs w:val="24"/>
              </w:rPr>
              <w:t xml:space="preserve">within the YOS </w:t>
            </w:r>
            <w:r w:rsidRPr="00FE47D6">
              <w:rPr>
                <w:sz w:val="24"/>
                <w:szCs w:val="24"/>
              </w:rPr>
              <w:t>has been established to develop a co-ordinated approach to manage high risk cases, and level 1 MAPPA threshold, to ensure information sharing (both internally and externally); develop, review, quality assure and monitor the delivery of plans; identify resources according to the assessed level of risk; have an overview of risk cases within the service and support staff in managing these cases.</w:t>
            </w:r>
          </w:p>
          <w:p w14:paraId="6D205B65" w14:textId="77777777" w:rsidR="000B0294" w:rsidRPr="00C304E2" w:rsidRDefault="000B0294" w:rsidP="002B1744">
            <w:pPr>
              <w:pStyle w:val="NoSpacing"/>
              <w:spacing w:line="360" w:lineRule="auto"/>
              <w:rPr>
                <w:sz w:val="24"/>
                <w:szCs w:val="24"/>
              </w:rPr>
            </w:pPr>
          </w:p>
          <w:p w14:paraId="0D5F21A3" w14:textId="77777777" w:rsidR="00BE5F6B" w:rsidRPr="00C304E2" w:rsidRDefault="00B23AF3" w:rsidP="004E715C">
            <w:pPr>
              <w:pStyle w:val="NoSpacing"/>
              <w:spacing w:line="360" w:lineRule="auto"/>
              <w:rPr>
                <w:sz w:val="24"/>
                <w:szCs w:val="24"/>
              </w:rPr>
            </w:pPr>
            <w:r w:rsidRPr="00C304E2">
              <w:rPr>
                <w:sz w:val="24"/>
                <w:szCs w:val="24"/>
              </w:rPr>
              <w:t xml:space="preserve">It is important that the YOS HRP does not duplicate work undertaken in other partnership risk panels. If a Young person is subject to MAPPA 2 or 3 management arrangements (i.e. subject to planning and review at multi agency MAPPA meetings) – the case will not be discussed at HRP. If a </w:t>
            </w:r>
            <w:r w:rsidR="004D24C2" w:rsidRPr="00C304E2">
              <w:rPr>
                <w:sz w:val="24"/>
                <w:szCs w:val="24"/>
              </w:rPr>
              <w:t>y</w:t>
            </w:r>
            <w:r w:rsidRPr="00C304E2">
              <w:rPr>
                <w:sz w:val="24"/>
                <w:szCs w:val="24"/>
              </w:rPr>
              <w:t>oung person is Looked After or subject to multi-agency safeguarding procedures,</w:t>
            </w:r>
            <w:r w:rsidR="00463475" w:rsidRPr="00C304E2">
              <w:rPr>
                <w:sz w:val="24"/>
                <w:szCs w:val="24"/>
              </w:rPr>
              <w:t xml:space="preserve"> a referral to these </w:t>
            </w:r>
            <w:r w:rsidR="00C37F65" w:rsidRPr="00C304E2">
              <w:rPr>
                <w:sz w:val="24"/>
                <w:szCs w:val="24"/>
              </w:rPr>
              <w:t>panels</w:t>
            </w:r>
            <w:r w:rsidR="00463475" w:rsidRPr="00C304E2">
              <w:rPr>
                <w:sz w:val="24"/>
                <w:szCs w:val="24"/>
              </w:rPr>
              <w:t xml:space="preserve"> should not wait for a discussion at HRP, although </w:t>
            </w:r>
            <w:r w:rsidRPr="00C304E2">
              <w:rPr>
                <w:sz w:val="24"/>
                <w:szCs w:val="24"/>
              </w:rPr>
              <w:t xml:space="preserve">the case should still be listed at the YOS HRP if assessed as high or very high risk to </w:t>
            </w:r>
            <w:r w:rsidR="00463475" w:rsidRPr="00C304E2">
              <w:rPr>
                <w:sz w:val="24"/>
                <w:szCs w:val="24"/>
              </w:rPr>
              <w:t xml:space="preserve">ensure that risks are being managed </w:t>
            </w:r>
            <w:r w:rsidR="00BE5F6B" w:rsidRPr="00C304E2">
              <w:rPr>
                <w:sz w:val="24"/>
                <w:szCs w:val="24"/>
              </w:rPr>
              <w:t>appropriately and considerations are included in YOS assessments and plans.</w:t>
            </w:r>
          </w:p>
          <w:p w14:paraId="159A2C14" w14:textId="77777777" w:rsidR="000B0294" w:rsidRPr="00C304E2" w:rsidRDefault="000B0294" w:rsidP="004E715C">
            <w:pPr>
              <w:pStyle w:val="NoSpacing"/>
              <w:spacing w:line="360" w:lineRule="auto"/>
              <w:rPr>
                <w:sz w:val="24"/>
                <w:szCs w:val="24"/>
              </w:rPr>
            </w:pPr>
          </w:p>
          <w:p w14:paraId="5699C824" w14:textId="77777777" w:rsidR="00EE2C95" w:rsidRPr="00C304E2" w:rsidRDefault="00EE2C95" w:rsidP="004E715C">
            <w:pPr>
              <w:pStyle w:val="NoSpacing"/>
              <w:spacing w:line="360" w:lineRule="auto"/>
              <w:rPr>
                <w:rFonts w:ascii="Calibri" w:eastAsia="Calibri" w:hAnsi="Calibri"/>
                <w:sz w:val="24"/>
                <w:szCs w:val="24"/>
              </w:rPr>
            </w:pPr>
            <w:r w:rsidRPr="00C304E2">
              <w:rPr>
                <w:rFonts w:ascii="Calibri" w:eastAsia="Calibri" w:hAnsi="Calibri"/>
                <w:sz w:val="24"/>
                <w:szCs w:val="24"/>
              </w:rPr>
              <w:t>If a young person has been assessed as High risk of re-</w:t>
            </w:r>
            <w:r w:rsidR="00C63E4B" w:rsidRPr="00C304E2">
              <w:rPr>
                <w:rFonts w:ascii="Calibri" w:eastAsia="Calibri" w:hAnsi="Calibri"/>
                <w:sz w:val="24"/>
                <w:szCs w:val="24"/>
              </w:rPr>
              <w:t>offending,</w:t>
            </w:r>
            <w:r w:rsidRPr="00C304E2">
              <w:rPr>
                <w:rFonts w:ascii="Calibri" w:eastAsia="Calibri" w:hAnsi="Calibri"/>
                <w:sz w:val="24"/>
                <w:szCs w:val="24"/>
              </w:rPr>
              <w:t xml:space="preserve"> then the young person will be discussed at IOM. If risk changes and High risk of harm or safety and well-being has also been </w:t>
            </w:r>
            <w:r w:rsidR="00C63E4B" w:rsidRPr="00C304E2">
              <w:rPr>
                <w:rFonts w:ascii="Calibri" w:eastAsia="Calibri" w:hAnsi="Calibri"/>
                <w:sz w:val="24"/>
                <w:szCs w:val="24"/>
              </w:rPr>
              <w:t>identified,</w:t>
            </w:r>
            <w:r w:rsidRPr="00C304E2">
              <w:rPr>
                <w:rFonts w:ascii="Calibri" w:eastAsia="Calibri" w:hAnsi="Calibri"/>
                <w:sz w:val="24"/>
                <w:szCs w:val="24"/>
              </w:rPr>
              <w:t xml:space="preserve"> then a decision will be made as to the most appropriate forum for discussion thereafter.</w:t>
            </w:r>
          </w:p>
          <w:p w14:paraId="649FF4DA" w14:textId="77777777" w:rsidR="000B0294" w:rsidRPr="00C304E2" w:rsidRDefault="000B0294" w:rsidP="004E715C">
            <w:pPr>
              <w:pStyle w:val="NoSpacing"/>
              <w:spacing w:line="360" w:lineRule="auto"/>
              <w:rPr>
                <w:sz w:val="24"/>
                <w:szCs w:val="24"/>
              </w:rPr>
            </w:pPr>
          </w:p>
          <w:p w14:paraId="67813EFC" w14:textId="77777777" w:rsidR="00B23AF3" w:rsidRPr="00C304E2" w:rsidRDefault="00B23AF3" w:rsidP="004E715C">
            <w:pPr>
              <w:pStyle w:val="NoSpacing"/>
              <w:spacing w:line="360" w:lineRule="auto"/>
              <w:rPr>
                <w:b/>
                <w:sz w:val="24"/>
                <w:szCs w:val="24"/>
              </w:rPr>
            </w:pPr>
            <w:r w:rsidRPr="00C304E2">
              <w:rPr>
                <w:b/>
                <w:sz w:val="24"/>
                <w:szCs w:val="24"/>
              </w:rPr>
              <w:t>Identification Process</w:t>
            </w:r>
          </w:p>
          <w:p w14:paraId="645A4A0C" w14:textId="77777777" w:rsidR="00B23AF3" w:rsidRPr="00C304E2" w:rsidRDefault="00B23AF3" w:rsidP="00C12E6E">
            <w:pPr>
              <w:pStyle w:val="NoSpacing"/>
              <w:spacing w:line="360" w:lineRule="auto"/>
              <w:rPr>
                <w:sz w:val="24"/>
                <w:szCs w:val="24"/>
              </w:rPr>
            </w:pPr>
            <w:r w:rsidRPr="00C304E2">
              <w:rPr>
                <w:sz w:val="24"/>
                <w:szCs w:val="24"/>
              </w:rPr>
              <w:t xml:space="preserve">The </w:t>
            </w:r>
            <w:r w:rsidR="00B75102" w:rsidRPr="00C304E2">
              <w:rPr>
                <w:sz w:val="24"/>
                <w:szCs w:val="24"/>
              </w:rPr>
              <w:t>y</w:t>
            </w:r>
            <w:r w:rsidRPr="00C304E2">
              <w:rPr>
                <w:sz w:val="24"/>
                <w:szCs w:val="24"/>
              </w:rPr>
              <w:t>oung person will be assessed as meeting the Enfield YOS definition of a high risk case if the following apply</w:t>
            </w:r>
            <w:r w:rsidR="00AA3CAF" w:rsidRPr="00C304E2">
              <w:rPr>
                <w:sz w:val="24"/>
                <w:szCs w:val="24"/>
              </w:rPr>
              <w:t xml:space="preserve"> (see </w:t>
            </w:r>
            <w:r w:rsidR="00AA3CAF" w:rsidRPr="00C304E2">
              <w:rPr>
                <w:bCs/>
                <w:sz w:val="24"/>
                <w:szCs w:val="24"/>
                <w:u w:val="single"/>
              </w:rPr>
              <w:t xml:space="preserve">Appendix </w:t>
            </w:r>
            <w:r w:rsidR="000B0294" w:rsidRPr="00C304E2">
              <w:rPr>
                <w:bCs/>
                <w:sz w:val="24"/>
                <w:szCs w:val="24"/>
                <w:u w:val="single"/>
              </w:rPr>
              <w:t>1</w:t>
            </w:r>
            <w:r w:rsidR="00AA3CAF" w:rsidRPr="00C304E2">
              <w:rPr>
                <w:sz w:val="24"/>
                <w:szCs w:val="24"/>
              </w:rPr>
              <w:t xml:space="preserve"> for definition</w:t>
            </w:r>
            <w:proofErr w:type="gramStart"/>
            <w:r w:rsidR="00BE5F6B" w:rsidRPr="00C304E2">
              <w:rPr>
                <w:sz w:val="24"/>
                <w:szCs w:val="24"/>
              </w:rPr>
              <w:t>):</w:t>
            </w:r>
            <w:r w:rsidR="00AA3CAF" w:rsidRPr="00C304E2">
              <w:rPr>
                <w:sz w:val="24"/>
                <w:szCs w:val="24"/>
              </w:rPr>
              <w:t>-</w:t>
            </w:r>
            <w:proofErr w:type="gramEnd"/>
          </w:p>
          <w:p w14:paraId="76D79BE7" w14:textId="77777777" w:rsidR="00B23AF3" w:rsidRPr="00C304E2" w:rsidRDefault="00B23AF3" w:rsidP="00C12E6E">
            <w:pPr>
              <w:pStyle w:val="NoSpacing"/>
              <w:spacing w:line="360" w:lineRule="auto"/>
              <w:rPr>
                <w:sz w:val="24"/>
                <w:szCs w:val="24"/>
              </w:rPr>
            </w:pPr>
          </w:p>
          <w:p w14:paraId="4884DC30" w14:textId="77777777" w:rsidR="00B23AF3" w:rsidRPr="00C304E2" w:rsidRDefault="00B23AF3" w:rsidP="00C12E6E">
            <w:pPr>
              <w:pStyle w:val="NoSpacing"/>
              <w:numPr>
                <w:ilvl w:val="0"/>
                <w:numId w:val="29"/>
              </w:numPr>
              <w:spacing w:line="360" w:lineRule="auto"/>
              <w:rPr>
                <w:b/>
                <w:sz w:val="24"/>
                <w:szCs w:val="24"/>
              </w:rPr>
            </w:pPr>
            <w:r w:rsidRPr="00C304E2">
              <w:rPr>
                <w:b/>
                <w:sz w:val="24"/>
                <w:szCs w:val="24"/>
              </w:rPr>
              <w:t xml:space="preserve">Risk of Serious Harm and Safety and Well Being – </w:t>
            </w:r>
            <w:r w:rsidRPr="00C304E2">
              <w:rPr>
                <w:sz w:val="24"/>
                <w:szCs w:val="24"/>
              </w:rPr>
              <w:t xml:space="preserve">score of High or Very High using the </w:t>
            </w:r>
            <w:r w:rsidR="00C63E4B" w:rsidRPr="00C304E2">
              <w:rPr>
                <w:sz w:val="24"/>
                <w:szCs w:val="24"/>
              </w:rPr>
              <w:t>Asset Plus</w:t>
            </w:r>
            <w:r w:rsidRPr="00C304E2">
              <w:rPr>
                <w:sz w:val="24"/>
                <w:szCs w:val="24"/>
              </w:rPr>
              <w:t xml:space="preserve"> indicators of Risk Serious Harm, OR Safety and Well Being</w:t>
            </w:r>
            <w:r w:rsidR="00F13228" w:rsidRPr="00C304E2">
              <w:rPr>
                <w:sz w:val="24"/>
                <w:szCs w:val="24"/>
              </w:rPr>
              <w:t>.</w:t>
            </w:r>
          </w:p>
          <w:p w14:paraId="2BFFED3D" w14:textId="77777777" w:rsidR="000B0294" w:rsidRPr="00C304E2" w:rsidRDefault="000B0294" w:rsidP="00C304E2">
            <w:pPr>
              <w:pStyle w:val="NoSpacing"/>
              <w:spacing w:line="360" w:lineRule="auto"/>
              <w:rPr>
                <w:sz w:val="24"/>
                <w:szCs w:val="24"/>
              </w:rPr>
            </w:pPr>
          </w:p>
          <w:p w14:paraId="143D01CC" w14:textId="77777777" w:rsidR="00B23AF3" w:rsidRPr="00C304E2" w:rsidRDefault="00B23AF3" w:rsidP="00C12E6E">
            <w:pPr>
              <w:pStyle w:val="NoSpacing"/>
              <w:spacing w:line="360" w:lineRule="auto"/>
              <w:rPr>
                <w:sz w:val="24"/>
                <w:szCs w:val="24"/>
              </w:rPr>
            </w:pPr>
            <w:r w:rsidRPr="00C304E2">
              <w:rPr>
                <w:sz w:val="24"/>
                <w:szCs w:val="24"/>
              </w:rPr>
              <w:t>The case manager will summarise the risk/safety and well-being concerns in the Explanations and Conclusions sections of Asset</w:t>
            </w:r>
            <w:r w:rsidR="00B75102" w:rsidRPr="00C304E2">
              <w:rPr>
                <w:sz w:val="24"/>
                <w:szCs w:val="24"/>
              </w:rPr>
              <w:t xml:space="preserve"> </w:t>
            </w:r>
            <w:r w:rsidRPr="00C304E2">
              <w:rPr>
                <w:sz w:val="24"/>
                <w:szCs w:val="24"/>
              </w:rPr>
              <w:t>Plus so that the HRP support officer can provide the risk matrices. Case managers should also ensure that the Explanations and Conclusions section is signed off by a manager. These should be checked and countersigned before Friday midday.</w:t>
            </w:r>
          </w:p>
          <w:p w14:paraId="037AB146" w14:textId="77777777" w:rsidR="00B23AF3" w:rsidRPr="00C304E2" w:rsidRDefault="00B23AF3" w:rsidP="00C12E6E">
            <w:pPr>
              <w:pStyle w:val="NoSpacing"/>
              <w:spacing w:line="360" w:lineRule="auto"/>
              <w:rPr>
                <w:sz w:val="24"/>
                <w:szCs w:val="24"/>
              </w:rPr>
            </w:pPr>
          </w:p>
          <w:p w14:paraId="14EF8CD2" w14:textId="77777777" w:rsidR="00B23AF3" w:rsidRPr="00C304E2" w:rsidRDefault="00B23AF3" w:rsidP="00C12E6E">
            <w:pPr>
              <w:pStyle w:val="NoSpacing"/>
              <w:spacing w:line="360" w:lineRule="auto"/>
              <w:rPr>
                <w:sz w:val="24"/>
                <w:szCs w:val="24"/>
              </w:rPr>
            </w:pPr>
            <w:r w:rsidRPr="00C304E2">
              <w:rPr>
                <w:sz w:val="24"/>
                <w:szCs w:val="24"/>
              </w:rPr>
              <w:t>Any immediate safeguarding and/or public protection concerns must be raised immediately with the line manager or duty manager so that a decision regarding the need for any immediate safeguarding or MAPPA referrals can be taken</w:t>
            </w:r>
            <w:r w:rsidR="000B0294" w:rsidRPr="00C304E2">
              <w:rPr>
                <w:sz w:val="24"/>
                <w:szCs w:val="24"/>
              </w:rPr>
              <w:t>.</w:t>
            </w:r>
          </w:p>
          <w:p w14:paraId="44FA0538" w14:textId="77777777" w:rsidR="00F13228" w:rsidRPr="00C304E2" w:rsidRDefault="00F13228" w:rsidP="00C12E6E">
            <w:pPr>
              <w:pStyle w:val="NoSpacing"/>
              <w:spacing w:line="360" w:lineRule="auto"/>
              <w:rPr>
                <w:sz w:val="24"/>
                <w:szCs w:val="24"/>
              </w:rPr>
            </w:pPr>
          </w:p>
          <w:p w14:paraId="46A70046" w14:textId="77777777" w:rsidR="00F13228" w:rsidRPr="00F13228" w:rsidRDefault="00F13228" w:rsidP="00C304E2">
            <w:pPr>
              <w:pStyle w:val="NoSpacing"/>
              <w:spacing w:line="360" w:lineRule="auto"/>
            </w:pPr>
            <w:r w:rsidRPr="00C304E2">
              <w:rPr>
                <w:sz w:val="24"/>
                <w:szCs w:val="24"/>
              </w:rPr>
              <w:t>New cases assessed as high or very high risk of harm to others or safety and well-being should be taken to Panel to the following schedule:</w:t>
            </w:r>
          </w:p>
        </w:tc>
        <w:tc>
          <w:tcPr>
            <w:tcW w:w="426" w:type="dxa"/>
          </w:tcPr>
          <w:p w14:paraId="0FC2497C" w14:textId="77777777" w:rsidR="00B23AF3" w:rsidRPr="00832F8F" w:rsidRDefault="00B23AF3" w:rsidP="004A26D5">
            <w:pPr>
              <w:spacing w:after="0" w:line="240" w:lineRule="auto"/>
              <w:jc w:val="both"/>
              <w:rPr>
                <w:rFonts w:cs="Calibri"/>
              </w:rPr>
            </w:pPr>
          </w:p>
        </w:tc>
      </w:tr>
      <w:tr w:rsidR="00B23AF3" w:rsidRPr="00832F8F" w14:paraId="3A13A674" w14:textId="77777777" w:rsidTr="004A26D5">
        <w:tc>
          <w:tcPr>
            <w:tcW w:w="10348" w:type="dxa"/>
          </w:tcPr>
          <w:p w14:paraId="62B7E72A" w14:textId="77777777" w:rsidR="00B23AF3" w:rsidRPr="000B2312" w:rsidRDefault="00B23AF3" w:rsidP="000B2312">
            <w:pPr>
              <w:pStyle w:val="NoSpacing"/>
              <w:spacing w:line="360" w:lineRule="auto"/>
              <w:rPr>
                <w:sz w:val="24"/>
                <w:szCs w:val="24"/>
              </w:rPr>
            </w:pPr>
          </w:p>
          <w:p w14:paraId="442C32A4" w14:textId="77777777" w:rsidR="00B23AF3" w:rsidRPr="000B2312" w:rsidRDefault="00B23AF3" w:rsidP="000B2312">
            <w:pPr>
              <w:pStyle w:val="NoSpacing"/>
              <w:numPr>
                <w:ilvl w:val="0"/>
                <w:numId w:val="30"/>
              </w:numPr>
              <w:spacing w:line="360" w:lineRule="auto"/>
              <w:rPr>
                <w:sz w:val="24"/>
                <w:szCs w:val="24"/>
              </w:rPr>
            </w:pPr>
            <w:r w:rsidRPr="000B2312">
              <w:rPr>
                <w:sz w:val="24"/>
                <w:szCs w:val="24"/>
              </w:rPr>
              <w:t>Triage</w:t>
            </w:r>
            <w:r w:rsidR="00FE47D6">
              <w:rPr>
                <w:sz w:val="24"/>
                <w:szCs w:val="24"/>
              </w:rPr>
              <w:t xml:space="preserve"> </w:t>
            </w:r>
            <w:r w:rsidRPr="000B2312">
              <w:rPr>
                <w:sz w:val="24"/>
                <w:szCs w:val="24"/>
              </w:rPr>
              <w:t>/ Out of court disposals – within 10 working days of from the OOCD Panel.</w:t>
            </w:r>
          </w:p>
          <w:p w14:paraId="6E9F8522" w14:textId="77777777" w:rsidR="00B23AF3" w:rsidRPr="000B2312" w:rsidRDefault="00B23AF3" w:rsidP="000B2312">
            <w:pPr>
              <w:pStyle w:val="NoSpacing"/>
              <w:numPr>
                <w:ilvl w:val="0"/>
                <w:numId w:val="30"/>
              </w:numPr>
              <w:spacing w:line="360" w:lineRule="auto"/>
              <w:rPr>
                <w:sz w:val="24"/>
                <w:szCs w:val="24"/>
              </w:rPr>
            </w:pPr>
            <w:r w:rsidRPr="000B2312">
              <w:rPr>
                <w:sz w:val="24"/>
                <w:szCs w:val="24"/>
              </w:rPr>
              <w:t xml:space="preserve">Referral Orders – if </w:t>
            </w:r>
            <w:r w:rsidR="00EE2C95" w:rsidRPr="000B2312">
              <w:rPr>
                <w:sz w:val="24"/>
                <w:szCs w:val="24"/>
              </w:rPr>
              <w:t>possible,</w:t>
            </w:r>
            <w:r w:rsidRPr="000B2312">
              <w:rPr>
                <w:sz w:val="24"/>
                <w:szCs w:val="24"/>
              </w:rPr>
              <w:t xml:space="preserve"> to be scheduled for the week before YOS Offender Panel otherwise immediately following Panel.</w:t>
            </w:r>
          </w:p>
          <w:p w14:paraId="78C35518" w14:textId="77777777" w:rsidR="00B23AF3" w:rsidRPr="000B2312" w:rsidRDefault="00B23AF3" w:rsidP="000B2312">
            <w:pPr>
              <w:pStyle w:val="NoSpacing"/>
              <w:numPr>
                <w:ilvl w:val="0"/>
                <w:numId w:val="30"/>
              </w:numPr>
              <w:spacing w:line="360" w:lineRule="auto"/>
              <w:rPr>
                <w:sz w:val="24"/>
                <w:szCs w:val="24"/>
              </w:rPr>
            </w:pPr>
            <w:r w:rsidRPr="000B2312">
              <w:rPr>
                <w:sz w:val="24"/>
                <w:szCs w:val="24"/>
              </w:rPr>
              <w:t>YROs – within 10 working days of the start of the intervention.</w:t>
            </w:r>
          </w:p>
          <w:p w14:paraId="78A481B6" w14:textId="77777777" w:rsidR="00B23AF3" w:rsidRPr="000B2312" w:rsidRDefault="00B23AF3" w:rsidP="000B2312">
            <w:pPr>
              <w:pStyle w:val="NoSpacing"/>
              <w:numPr>
                <w:ilvl w:val="0"/>
                <w:numId w:val="30"/>
              </w:numPr>
              <w:spacing w:line="360" w:lineRule="auto"/>
              <w:rPr>
                <w:sz w:val="24"/>
                <w:szCs w:val="24"/>
              </w:rPr>
            </w:pPr>
            <w:r w:rsidRPr="000B2312">
              <w:rPr>
                <w:sz w:val="24"/>
                <w:szCs w:val="24"/>
              </w:rPr>
              <w:t>DTOs – within 10 working days of intervention start and then scheduled for review depending on release date.</w:t>
            </w:r>
          </w:p>
          <w:p w14:paraId="5A111708" w14:textId="77777777" w:rsidR="00B23AF3" w:rsidRPr="000B2312" w:rsidRDefault="00B23AF3" w:rsidP="000B2312">
            <w:pPr>
              <w:pStyle w:val="NoSpacing"/>
              <w:numPr>
                <w:ilvl w:val="0"/>
                <w:numId w:val="30"/>
              </w:numPr>
              <w:spacing w:line="360" w:lineRule="auto"/>
              <w:rPr>
                <w:sz w:val="24"/>
                <w:szCs w:val="24"/>
              </w:rPr>
            </w:pPr>
            <w:r w:rsidRPr="000B2312">
              <w:rPr>
                <w:sz w:val="24"/>
                <w:szCs w:val="24"/>
              </w:rPr>
              <w:t>Notice of Supervision – one week before release planning meeting to inform planning discussion</w:t>
            </w:r>
          </w:p>
          <w:p w14:paraId="5CAD67BE" w14:textId="77777777" w:rsidR="00B23AF3" w:rsidRPr="000B2312" w:rsidRDefault="00B23AF3" w:rsidP="000B2312">
            <w:pPr>
              <w:pStyle w:val="NoSpacing"/>
              <w:numPr>
                <w:ilvl w:val="0"/>
                <w:numId w:val="30"/>
              </w:numPr>
              <w:spacing w:line="360" w:lineRule="auto"/>
              <w:rPr>
                <w:sz w:val="24"/>
                <w:szCs w:val="24"/>
              </w:rPr>
            </w:pPr>
            <w:r w:rsidRPr="000B2312">
              <w:rPr>
                <w:sz w:val="24"/>
                <w:szCs w:val="24"/>
              </w:rPr>
              <w:t>Bail</w:t>
            </w:r>
            <w:r w:rsidR="00FE47D6">
              <w:rPr>
                <w:sz w:val="24"/>
                <w:szCs w:val="24"/>
              </w:rPr>
              <w:t xml:space="preserve"> </w:t>
            </w:r>
            <w:r w:rsidRPr="000B2312">
              <w:rPr>
                <w:sz w:val="24"/>
                <w:szCs w:val="24"/>
              </w:rPr>
              <w:t>/</w:t>
            </w:r>
            <w:r w:rsidR="00FE47D6">
              <w:rPr>
                <w:sz w:val="24"/>
                <w:szCs w:val="24"/>
              </w:rPr>
              <w:t xml:space="preserve"> </w:t>
            </w:r>
            <w:r w:rsidRPr="000B2312">
              <w:rPr>
                <w:sz w:val="24"/>
                <w:szCs w:val="24"/>
              </w:rPr>
              <w:t xml:space="preserve">Remand Cases – To the next available </w:t>
            </w:r>
            <w:r w:rsidR="00EE2C95" w:rsidRPr="000B2312">
              <w:rPr>
                <w:sz w:val="24"/>
                <w:szCs w:val="24"/>
              </w:rPr>
              <w:t>high-risk</w:t>
            </w:r>
            <w:r w:rsidRPr="000B2312">
              <w:rPr>
                <w:sz w:val="24"/>
                <w:szCs w:val="24"/>
              </w:rPr>
              <w:t xml:space="preserve"> panel if assessed as high risk of serious harm</w:t>
            </w:r>
            <w:r w:rsidR="00FE47D6">
              <w:rPr>
                <w:sz w:val="24"/>
                <w:szCs w:val="24"/>
              </w:rPr>
              <w:t xml:space="preserve"> </w:t>
            </w:r>
            <w:r w:rsidRPr="000B2312">
              <w:rPr>
                <w:sz w:val="24"/>
                <w:szCs w:val="24"/>
              </w:rPr>
              <w:t>/</w:t>
            </w:r>
            <w:r w:rsidR="00FE47D6">
              <w:rPr>
                <w:sz w:val="24"/>
                <w:szCs w:val="24"/>
              </w:rPr>
              <w:t xml:space="preserve"> </w:t>
            </w:r>
            <w:r w:rsidRPr="000B2312">
              <w:rPr>
                <w:sz w:val="24"/>
                <w:szCs w:val="24"/>
              </w:rPr>
              <w:t>safety and well-being or above.</w:t>
            </w:r>
          </w:p>
          <w:p w14:paraId="0371DC10" w14:textId="77777777" w:rsidR="00B23AF3" w:rsidRPr="000B2312" w:rsidRDefault="00B23AF3" w:rsidP="000B2312">
            <w:pPr>
              <w:pStyle w:val="NoSpacing"/>
              <w:numPr>
                <w:ilvl w:val="0"/>
                <w:numId w:val="30"/>
              </w:numPr>
              <w:spacing w:line="360" w:lineRule="auto"/>
              <w:rPr>
                <w:sz w:val="24"/>
                <w:szCs w:val="24"/>
              </w:rPr>
            </w:pPr>
            <w:r w:rsidRPr="000B2312">
              <w:rPr>
                <w:sz w:val="24"/>
                <w:szCs w:val="24"/>
              </w:rPr>
              <w:t xml:space="preserve">All cases – at any point in the intervention following a significant change of circumstances that leads to a re-assessment of the Young person into the high or very high risk /safety and </w:t>
            </w:r>
            <w:r w:rsidR="00EE2C95" w:rsidRPr="000B2312">
              <w:rPr>
                <w:sz w:val="24"/>
                <w:szCs w:val="24"/>
              </w:rPr>
              <w:t>wellbeing</w:t>
            </w:r>
            <w:r w:rsidRPr="000B2312">
              <w:rPr>
                <w:sz w:val="24"/>
                <w:szCs w:val="24"/>
              </w:rPr>
              <w:t xml:space="preserve"> category</w:t>
            </w:r>
            <w:r w:rsidR="00F13228" w:rsidRPr="000B2312">
              <w:rPr>
                <w:sz w:val="24"/>
                <w:szCs w:val="24"/>
              </w:rPr>
              <w:t>.</w:t>
            </w:r>
            <w:r w:rsidRPr="000B2312">
              <w:rPr>
                <w:sz w:val="24"/>
                <w:szCs w:val="24"/>
              </w:rPr>
              <w:t xml:space="preserve"> </w:t>
            </w:r>
          </w:p>
          <w:p w14:paraId="421404D7" w14:textId="77777777" w:rsidR="00B23AF3" w:rsidRPr="000B2312" w:rsidRDefault="00B23AF3" w:rsidP="000B2312">
            <w:pPr>
              <w:pStyle w:val="NoSpacing"/>
              <w:spacing w:line="360" w:lineRule="auto"/>
              <w:rPr>
                <w:sz w:val="24"/>
                <w:szCs w:val="24"/>
              </w:rPr>
            </w:pPr>
          </w:p>
          <w:p w14:paraId="150A7A55" w14:textId="77777777" w:rsidR="00B23AF3" w:rsidRPr="000B2312" w:rsidRDefault="00B23AF3" w:rsidP="000B2312">
            <w:pPr>
              <w:pStyle w:val="NoSpacing"/>
              <w:spacing w:line="360" w:lineRule="auto"/>
              <w:rPr>
                <w:sz w:val="24"/>
                <w:szCs w:val="24"/>
              </w:rPr>
            </w:pPr>
            <w:r w:rsidRPr="000B2312">
              <w:rPr>
                <w:sz w:val="24"/>
                <w:szCs w:val="24"/>
              </w:rPr>
              <w:t xml:space="preserve">The case manager will refer all young people who meet the high or very </w:t>
            </w:r>
            <w:r w:rsidR="00EE2C95" w:rsidRPr="000B2312">
              <w:rPr>
                <w:sz w:val="24"/>
                <w:szCs w:val="24"/>
              </w:rPr>
              <w:t>high-risk</w:t>
            </w:r>
            <w:r w:rsidRPr="000B2312">
              <w:rPr>
                <w:sz w:val="24"/>
                <w:szCs w:val="24"/>
              </w:rPr>
              <w:t xml:space="preserve"> threshold for Harm and Safety and Wellbeing. Managers will also be aware of the </w:t>
            </w:r>
            <w:r w:rsidR="00EE2C95" w:rsidRPr="000B2312">
              <w:rPr>
                <w:sz w:val="24"/>
                <w:szCs w:val="24"/>
              </w:rPr>
              <w:t>high-risk</w:t>
            </w:r>
            <w:r w:rsidRPr="000B2312">
              <w:rPr>
                <w:sz w:val="24"/>
                <w:szCs w:val="24"/>
              </w:rPr>
              <w:t xml:space="preserve"> cases in their team and ensure those young people are referred where necessary. </w:t>
            </w:r>
            <w:r w:rsidR="00AA27B5" w:rsidRPr="000B2312">
              <w:rPr>
                <w:sz w:val="24"/>
                <w:szCs w:val="24"/>
              </w:rPr>
              <w:t>If a young person assessed as high risk is open to social care, the YOS and social care will have joint supervision sessions to ensure there is joint approach to the management of risk.</w:t>
            </w:r>
          </w:p>
          <w:p w14:paraId="4E03DAA2" w14:textId="77777777" w:rsidR="00B23AF3" w:rsidRPr="000B2312" w:rsidRDefault="00B23AF3" w:rsidP="000B2312">
            <w:pPr>
              <w:pStyle w:val="NoSpacing"/>
              <w:spacing w:line="360" w:lineRule="auto"/>
              <w:rPr>
                <w:sz w:val="24"/>
                <w:szCs w:val="24"/>
              </w:rPr>
            </w:pPr>
          </w:p>
          <w:p w14:paraId="04E744D5" w14:textId="77777777" w:rsidR="00C12E6E" w:rsidRDefault="00C12E6E" w:rsidP="000B2312">
            <w:pPr>
              <w:pStyle w:val="NoSpacing"/>
              <w:spacing w:line="360" w:lineRule="auto"/>
              <w:rPr>
                <w:b/>
                <w:bCs/>
                <w:sz w:val="24"/>
                <w:szCs w:val="24"/>
              </w:rPr>
            </w:pPr>
          </w:p>
          <w:p w14:paraId="374859E6" w14:textId="77777777" w:rsidR="00C12E6E" w:rsidRDefault="00C12E6E" w:rsidP="000B2312">
            <w:pPr>
              <w:pStyle w:val="NoSpacing"/>
              <w:spacing w:line="360" w:lineRule="auto"/>
              <w:rPr>
                <w:b/>
                <w:bCs/>
                <w:sz w:val="24"/>
                <w:szCs w:val="24"/>
              </w:rPr>
            </w:pPr>
          </w:p>
          <w:p w14:paraId="6DADA112" w14:textId="77777777" w:rsidR="00B23AF3" w:rsidRPr="000B2312" w:rsidRDefault="00B23AF3" w:rsidP="00306951">
            <w:pPr>
              <w:pStyle w:val="NoSpacing"/>
              <w:spacing w:line="360" w:lineRule="auto"/>
              <w:rPr>
                <w:b/>
                <w:bCs/>
                <w:sz w:val="24"/>
                <w:szCs w:val="24"/>
              </w:rPr>
            </w:pPr>
            <w:r w:rsidRPr="000B2312">
              <w:rPr>
                <w:b/>
                <w:bCs/>
                <w:sz w:val="24"/>
                <w:szCs w:val="24"/>
              </w:rPr>
              <w:t>OOCD</w:t>
            </w:r>
          </w:p>
          <w:p w14:paraId="39092B8C" w14:textId="77777777" w:rsidR="00B23AF3" w:rsidRPr="000B2312" w:rsidRDefault="00B23AF3" w:rsidP="00306951">
            <w:pPr>
              <w:pStyle w:val="NoSpacing"/>
              <w:spacing w:line="360" w:lineRule="auto"/>
              <w:rPr>
                <w:sz w:val="24"/>
                <w:szCs w:val="24"/>
              </w:rPr>
            </w:pPr>
            <w:r w:rsidRPr="000B2312">
              <w:rPr>
                <w:sz w:val="24"/>
                <w:szCs w:val="24"/>
              </w:rPr>
              <w:t xml:space="preserve">High risk cases will be identified by the </w:t>
            </w:r>
            <w:r w:rsidR="00752A3B" w:rsidRPr="000B2312">
              <w:rPr>
                <w:sz w:val="24"/>
                <w:szCs w:val="24"/>
              </w:rPr>
              <w:t>Asset plus</w:t>
            </w:r>
            <w:r w:rsidR="0057513C" w:rsidRPr="000B2312">
              <w:rPr>
                <w:sz w:val="24"/>
                <w:szCs w:val="24"/>
              </w:rPr>
              <w:t xml:space="preserve"> and</w:t>
            </w:r>
            <w:r w:rsidR="00752A3B" w:rsidRPr="000B2312">
              <w:rPr>
                <w:sz w:val="24"/>
                <w:szCs w:val="24"/>
              </w:rPr>
              <w:t xml:space="preserve"> </w:t>
            </w:r>
            <w:r w:rsidR="0057513C" w:rsidRPr="000B2312">
              <w:rPr>
                <w:sz w:val="24"/>
                <w:szCs w:val="24"/>
              </w:rPr>
              <w:t xml:space="preserve">or </w:t>
            </w:r>
            <w:r w:rsidRPr="000B2312">
              <w:rPr>
                <w:sz w:val="24"/>
                <w:szCs w:val="24"/>
              </w:rPr>
              <w:t xml:space="preserve">OCCD tracker and the HRP support officer will check that all high risk of harm and safety and </w:t>
            </w:r>
            <w:r w:rsidR="00EE2C95" w:rsidRPr="000B2312">
              <w:rPr>
                <w:sz w:val="24"/>
                <w:szCs w:val="24"/>
              </w:rPr>
              <w:t>wellbeing</w:t>
            </w:r>
            <w:r w:rsidRPr="000B2312">
              <w:rPr>
                <w:sz w:val="24"/>
                <w:szCs w:val="24"/>
              </w:rPr>
              <w:t xml:space="preserve"> have been scheduled to attend the high risk panel within 10 days of the OOCD panel – where this is not the case, they will notify the case manager and line manager by email</w:t>
            </w:r>
            <w:r w:rsidR="00B75102" w:rsidRPr="000B2312">
              <w:rPr>
                <w:sz w:val="24"/>
                <w:szCs w:val="24"/>
              </w:rPr>
              <w:t>.</w:t>
            </w:r>
          </w:p>
          <w:p w14:paraId="2FD86504" w14:textId="77777777" w:rsidR="00B23AF3" w:rsidRPr="000B2312" w:rsidRDefault="00B23AF3" w:rsidP="00C12E6E">
            <w:pPr>
              <w:pStyle w:val="NoSpacing"/>
              <w:spacing w:line="360" w:lineRule="auto"/>
              <w:rPr>
                <w:sz w:val="24"/>
                <w:szCs w:val="24"/>
              </w:rPr>
            </w:pPr>
          </w:p>
          <w:p w14:paraId="1BA8050D" w14:textId="77777777" w:rsidR="00B23AF3" w:rsidRPr="000B2312" w:rsidRDefault="00B23AF3" w:rsidP="00C12E6E">
            <w:pPr>
              <w:pStyle w:val="NoSpacing"/>
              <w:spacing w:line="360" w:lineRule="auto"/>
              <w:rPr>
                <w:b/>
                <w:bCs/>
                <w:sz w:val="24"/>
                <w:szCs w:val="24"/>
              </w:rPr>
            </w:pPr>
            <w:r w:rsidRPr="000B2312">
              <w:rPr>
                <w:b/>
                <w:bCs/>
                <w:sz w:val="24"/>
                <w:szCs w:val="24"/>
              </w:rPr>
              <w:t>Post court cases</w:t>
            </w:r>
          </w:p>
          <w:p w14:paraId="17D678D9" w14:textId="77777777" w:rsidR="00B23AF3" w:rsidRPr="000B2312" w:rsidRDefault="00B23AF3" w:rsidP="00C12E6E">
            <w:pPr>
              <w:pStyle w:val="NoSpacing"/>
              <w:spacing w:line="360" w:lineRule="auto"/>
              <w:rPr>
                <w:sz w:val="24"/>
                <w:szCs w:val="24"/>
              </w:rPr>
            </w:pPr>
            <w:r w:rsidRPr="000B2312">
              <w:rPr>
                <w:sz w:val="24"/>
                <w:szCs w:val="24"/>
              </w:rPr>
              <w:t>High risk cases will be identified by the caseload by risk data report and the HRP support officer will check that all high risk of harm and safety and well-being have been referred to the panel within 3 days of sentence</w:t>
            </w:r>
            <w:r w:rsidR="00D07BF9" w:rsidRPr="000B2312">
              <w:rPr>
                <w:sz w:val="24"/>
                <w:szCs w:val="24"/>
              </w:rPr>
              <w:t xml:space="preserve"> and or </w:t>
            </w:r>
            <w:r w:rsidR="00CE5213" w:rsidRPr="000B2312">
              <w:rPr>
                <w:sz w:val="24"/>
                <w:szCs w:val="24"/>
              </w:rPr>
              <w:t>in the case of a Referral Order, 3 days from completion of assessment,</w:t>
            </w:r>
            <w:r w:rsidRPr="000B2312">
              <w:rPr>
                <w:sz w:val="24"/>
                <w:szCs w:val="24"/>
              </w:rPr>
              <w:t xml:space="preserve"> – where this is not the case, they will notify the case manager and line manager by email</w:t>
            </w:r>
            <w:r w:rsidR="00B75102" w:rsidRPr="000B2312">
              <w:rPr>
                <w:sz w:val="24"/>
                <w:szCs w:val="24"/>
              </w:rPr>
              <w:t>.</w:t>
            </w:r>
          </w:p>
          <w:p w14:paraId="19E6EE5B" w14:textId="77777777" w:rsidR="00B23AF3" w:rsidRPr="000B2312" w:rsidRDefault="00B23AF3" w:rsidP="000B2312">
            <w:pPr>
              <w:pStyle w:val="NoSpacing"/>
              <w:spacing w:line="360" w:lineRule="auto"/>
              <w:rPr>
                <w:sz w:val="24"/>
                <w:szCs w:val="24"/>
              </w:rPr>
            </w:pPr>
          </w:p>
          <w:p w14:paraId="4B52E483" w14:textId="77777777" w:rsidR="00B23AF3" w:rsidRPr="00306951" w:rsidRDefault="00B23AF3" w:rsidP="00C12E6E">
            <w:pPr>
              <w:pStyle w:val="NoSpacing"/>
              <w:spacing w:line="360" w:lineRule="auto"/>
              <w:rPr>
                <w:b/>
                <w:sz w:val="24"/>
                <w:szCs w:val="24"/>
              </w:rPr>
            </w:pPr>
            <w:r w:rsidRPr="000B2312">
              <w:rPr>
                <w:b/>
                <w:sz w:val="24"/>
                <w:szCs w:val="24"/>
              </w:rPr>
              <w:t>HRP Process</w:t>
            </w:r>
          </w:p>
        </w:tc>
        <w:tc>
          <w:tcPr>
            <w:tcW w:w="426" w:type="dxa"/>
          </w:tcPr>
          <w:p w14:paraId="46154C0F" w14:textId="77777777" w:rsidR="00B23AF3" w:rsidRPr="00832F8F" w:rsidRDefault="00B23AF3" w:rsidP="004A26D5">
            <w:pPr>
              <w:spacing w:after="0" w:line="240" w:lineRule="auto"/>
              <w:jc w:val="both"/>
              <w:rPr>
                <w:rFonts w:cs="Calibri"/>
              </w:rPr>
            </w:pPr>
          </w:p>
        </w:tc>
      </w:tr>
      <w:tr w:rsidR="00B23AF3" w:rsidRPr="00832F8F" w14:paraId="50713DE4" w14:textId="77777777" w:rsidTr="004A26D5">
        <w:tc>
          <w:tcPr>
            <w:tcW w:w="10348" w:type="dxa"/>
          </w:tcPr>
          <w:p w14:paraId="1EE5832A" w14:textId="77777777" w:rsidR="00B23AF3" w:rsidRPr="000B2312" w:rsidRDefault="00B23AF3" w:rsidP="000B2312">
            <w:pPr>
              <w:pStyle w:val="NoSpacing"/>
              <w:spacing w:line="360" w:lineRule="auto"/>
              <w:rPr>
                <w:sz w:val="24"/>
                <w:szCs w:val="24"/>
              </w:rPr>
            </w:pPr>
            <w:r w:rsidRPr="000B2312">
              <w:rPr>
                <w:sz w:val="24"/>
                <w:szCs w:val="24"/>
              </w:rPr>
              <w:t xml:space="preserve">The case manager will email the </w:t>
            </w:r>
            <w:r w:rsidR="00EE2C95" w:rsidRPr="000B2312">
              <w:rPr>
                <w:sz w:val="24"/>
                <w:szCs w:val="24"/>
              </w:rPr>
              <w:t>high-risk</w:t>
            </w:r>
            <w:r w:rsidRPr="000B2312">
              <w:rPr>
                <w:sz w:val="24"/>
                <w:szCs w:val="24"/>
              </w:rPr>
              <w:t xml:space="preserve"> Panel (HRP) support officer</w:t>
            </w:r>
            <w:r w:rsidR="00D448E6" w:rsidRPr="000B2312">
              <w:rPr>
                <w:sz w:val="24"/>
                <w:szCs w:val="24"/>
              </w:rPr>
              <w:t>s</w:t>
            </w:r>
            <w:r w:rsidRPr="000B2312">
              <w:rPr>
                <w:sz w:val="24"/>
                <w:szCs w:val="24"/>
              </w:rPr>
              <w:t xml:space="preserve"> to book the Panel – the worker should identify any external partners to be invited, including name, organization, contact number and email address. The HRP support officer will schedule the case for Panel within 10 working days, send out invitations to the meeting (using the</w:t>
            </w:r>
            <w:r w:rsidR="00D448E6" w:rsidRPr="000B2312">
              <w:rPr>
                <w:sz w:val="24"/>
                <w:szCs w:val="24"/>
              </w:rPr>
              <w:t xml:space="preserve"> </w:t>
            </w:r>
            <w:hyperlink r:id="rId12" w:history="1">
              <w:r w:rsidR="00D448E6" w:rsidRPr="000B2312">
                <w:rPr>
                  <w:rStyle w:val="Hyperlink"/>
                  <w:sz w:val="24"/>
                  <w:szCs w:val="24"/>
                </w:rPr>
                <w:t>HRP</w:t>
              </w:r>
              <w:r w:rsidR="00D448E6" w:rsidRPr="000B2312">
                <w:rPr>
                  <w:rStyle w:val="Hyperlink"/>
                  <w:sz w:val="24"/>
                  <w:szCs w:val="24"/>
                </w:rPr>
                <w:t xml:space="preserve"> </w:t>
              </w:r>
              <w:r w:rsidR="00D448E6" w:rsidRPr="000B2312">
                <w:rPr>
                  <w:rStyle w:val="Hyperlink"/>
                  <w:sz w:val="24"/>
                  <w:szCs w:val="24"/>
                </w:rPr>
                <w:t>Invite</w:t>
              </w:r>
            </w:hyperlink>
            <w:r w:rsidRPr="000B2312">
              <w:rPr>
                <w:rStyle w:val="Hyperlink"/>
                <w:rFonts w:cs="Calibri"/>
                <w:sz w:val="24"/>
                <w:szCs w:val="24"/>
              </w:rPr>
              <w:t>)</w:t>
            </w:r>
            <w:r w:rsidRPr="000B2312">
              <w:rPr>
                <w:sz w:val="24"/>
                <w:szCs w:val="24"/>
              </w:rPr>
              <w:t xml:space="preserve"> and email the case manager with the time and date. </w:t>
            </w:r>
          </w:p>
          <w:p w14:paraId="65E59F9F" w14:textId="77777777" w:rsidR="00B23AF3" w:rsidRPr="000B2312" w:rsidRDefault="00B23AF3" w:rsidP="000B2312">
            <w:pPr>
              <w:pStyle w:val="NoSpacing"/>
              <w:spacing w:line="360" w:lineRule="auto"/>
              <w:rPr>
                <w:sz w:val="24"/>
                <w:szCs w:val="24"/>
              </w:rPr>
            </w:pPr>
          </w:p>
          <w:p w14:paraId="35298DE6" w14:textId="77777777" w:rsidR="00B23AF3" w:rsidRPr="000B2312" w:rsidRDefault="00D63E0A" w:rsidP="000B2312">
            <w:pPr>
              <w:pStyle w:val="NoSpacing"/>
              <w:spacing w:line="360" w:lineRule="auto"/>
              <w:rPr>
                <w:sz w:val="24"/>
                <w:szCs w:val="24"/>
              </w:rPr>
            </w:pPr>
            <w:r w:rsidRPr="000B2312">
              <w:rPr>
                <w:sz w:val="24"/>
                <w:szCs w:val="24"/>
              </w:rPr>
              <w:t>Specialists attendance will be required at the panel if working with the young person.</w:t>
            </w:r>
          </w:p>
          <w:p w14:paraId="1635830E" w14:textId="77777777" w:rsidR="00B23AF3" w:rsidRPr="000B2312" w:rsidRDefault="00B23AF3" w:rsidP="000B2312">
            <w:pPr>
              <w:pStyle w:val="NoSpacing"/>
              <w:spacing w:line="360" w:lineRule="auto"/>
              <w:rPr>
                <w:sz w:val="24"/>
                <w:szCs w:val="24"/>
              </w:rPr>
            </w:pPr>
            <w:r w:rsidRPr="000B2312">
              <w:rPr>
                <w:sz w:val="24"/>
                <w:szCs w:val="24"/>
              </w:rPr>
              <w:t xml:space="preserve"> </w:t>
            </w:r>
          </w:p>
        </w:tc>
        <w:tc>
          <w:tcPr>
            <w:tcW w:w="426" w:type="dxa"/>
          </w:tcPr>
          <w:p w14:paraId="1DF1630A" w14:textId="77777777" w:rsidR="00B23AF3" w:rsidRPr="00832F8F" w:rsidRDefault="00B23AF3" w:rsidP="004A26D5">
            <w:pPr>
              <w:spacing w:after="0" w:line="240" w:lineRule="auto"/>
              <w:jc w:val="both"/>
              <w:rPr>
                <w:rFonts w:cs="Calibri"/>
              </w:rPr>
            </w:pPr>
          </w:p>
        </w:tc>
      </w:tr>
      <w:tr w:rsidR="00B23AF3" w:rsidRPr="00832F8F" w14:paraId="51619967" w14:textId="77777777" w:rsidTr="004A26D5">
        <w:tc>
          <w:tcPr>
            <w:tcW w:w="10348" w:type="dxa"/>
          </w:tcPr>
          <w:p w14:paraId="236023B4" w14:textId="77777777" w:rsidR="00B23AF3" w:rsidRPr="000B2312" w:rsidRDefault="00B23AF3" w:rsidP="000B2312">
            <w:pPr>
              <w:pStyle w:val="NoSpacing"/>
              <w:spacing w:line="360" w:lineRule="auto"/>
              <w:rPr>
                <w:sz w:val="24"/>
                <w:szCs w:val="24"/>
              </w:rPr>
            </w:pPr>
            <w:r w:rsidRPr="000B2312">
              <w:rPr>
                <w:sz w:val="24"/>
                <w:szCs w:val="24"/>
              </w:rPr>
              <w:t xml:space="preserve">The HRP support officer will </w:t>
            </w:r>
            <w:r w:rsidR="008E06DC" w:rsidRPr="000B2312">
              <w:rPr>
                <w:sz w:val="24"/>
                <w:szCs w:val="24"/>
              </w:rPr>
              <w:t>provide the chair on the Thursday prior to the HRP meeting with a list of cases to be discussed, Explanations and Conclusions from the assessment of the young people and the previous actions if review meeting.</w:t>
            </w:r>
          </w:p>
          <w:p w14:paraId="3A467BFE" w14:textId="77777777" w:rsidR="00B23AF3" w:rsidRPr="000B2312" w:rsidRDefault="00B23AF3" w:rsidP="000B2312">
            <w:pPr>
              <w:pStyle w:val="NoSpacing"/>
              <w:spacing w:line="360" w:lineRule="auto"/>
              <w:rPr>
                <w:sz w:val="24"/>
                <w:szCs w:val="24"/>
              </w:rPr>
            </w:pPr>
          </w:p>
          <w:p w14:paraId="3D0FA3AE" w14:textId="77777777" w:rsidR="00B23AF3" w:rsidRPr="000B2312" w:rsidRDefault="00B23AF3" w:rsidP="000B2312">
            <w:pPr>
              <w:pStyle w:val="NoSpacing"/>
              <w:spacing w:line="360" w:lineRule="auto"/>
              <w:rPr>
                <w:sz w:val="24"/>
                <w:szCs w:val="24"/>
              </w:rPr>
            </w:pPr>
            <w:r w:rsidRPr="000B2312">
              <w:rPr>
                <w:sz w:val="24"/>
                <w:szCs w:val="24"/>
              </w:rPr>
              <w:t>The Chair will review the case papers at least one day before Panel to ensure s/he is familiar with the case and seek any clarification with the case manager in advance of the Panel. The Chair and the HRP support officer will liaise regarding the organisation of the Panel on the date and any practical arrangements that need to be agreed</w:t>
            </w:r>
            <w:r w:rsidR="00245219" w:rsidRPr="000B2312">
              <w:rPr>
                <w:sz w:val="24"/>
                <w:szCs w:val="24"/>
              </w:rPr>
              <w:t>.</w:t>
            </w:r>
          </w:p>
          <w:p w14:paraId="1C070CF9" w14:textId="77777777" w:rsidR="00B23AF3" w:rsidRDefault="00B23AF3" w:rsidP="000B2312">
            <w:pPr>
              <w:pStyle w:val="NoSpacing"/>
              <w:spacing w:line="360" w:lineRule="auto"/>
              <w:rPr>
                <w:sz w:val="24"/>
                <w:szCs w:val="24"/>
              </w:rPr>
            </w:pPr>
          </w:p>
          <w:p w14:paraId="5589803A" w14:textId="77777777" w:rsidR="00C8722A" w:rsidRPr="000B2312" w:rsidRDefault="00C8722A" w:rsidP="000B2312">
            <w:pPr>
              <w:pStyle w:val="NoSpacing"/>
              <w:spacing w:line="360" w:lineRule="auto"/>
              <w:rPr>
                <w:sz w:val="24"/>
                <w:szCs w:val="24"/>
              </w:rPr>
            </w:pPr>
          </w:p>
        </w:tc>
        <w:tc>
          <w:tcPr>
            <w:tcW w:w="426" w:type="dxa"/>
          </w:tcPr>
          <w:p w14:paraId="17090DC2" w14:textId="77777777" w:rsidR="00B23AF3" w:rsidRPr="00832F8F" w:rsidRDefault="00B23AF3" w:rsidP="004A26D5">
            <w:pPr>
              <w:spacing w:after="0" w:line="240" w:lineRule="auto"/>
              <w:jc w:val="both"/>
              <w:rPr>
                <w:rFonts w:cs="Calibri"/>
              </w:rPr>
            </w:pPr>
          </w:p>
        </w:tc>
      </w:tr>
      <w:tr w:rsidR="00B23AF3" w:rsidRPr="00832F8F" w14:paraId="2BBA5547" w14:textId="77777777" w:rsidTr="004A26D5">
        <w:tc>
          <w:tcPr>
            <w:tcW w:w="10348" w:type="dxa"/>
          </w:tcPr>
          <w:p w14:paraId="2846DAAA" w14:textId="77777777" w:rsidR="00C8722A" w:rsidRDefault="00C8722A" w:rsidP="00306951">
            <w:pPr>
              <w:spacing w:after="0" w:line="360" w:lineRule="auto"/>
              <w:jc w:val="both"/>
              <w:rPr>
                <w:rStyle w:val="NoSpacingChar"/>
                <w:b/>
                <w:sz w:val="24"/>
                <w:szCs w:val="24"/>
              </w:rPr>
            </w:pPr>
          </w:p>
          <w:p w14:paraId="413F61DB" w14:textId="77777777" w:rsidR="00306951" w:rsidRDefault="00B23AF3" w:rsidP="00306951">
            <w:pPr>
              <w:spacing w:after="0" w:line="360" w:lineRule="auto"/>
              <w:jc w:val="both"/>
              <w:rPr>
                <w:rFonts w:cs="Calibri"/>
                <w:b/>
                <w:sz w:val="24"/>
                <w:szCs w:val="24"/>
              </w:rPr>
            </w:pPr>
            <w:r w:rsidRPr="00C12E6E">
              <w:rPr>
                <w:rStyle w:val="NoSpacingChar"/>
                <w:b/>
                <w:sz w:val="24"/>
                <w:szCs w:val="24"/>
              </w:rPr>
              <w:t>H</w:t>
            </w:r>
            <w:r w:rsidRPr="000B2312">
              <w:rPr>
                <w:rFonts w:cs="Calibri"/>
                <w:b/>
                <w:sz w:val="24"/>
                <w:szCs w:val="24"/>
              </w:rPr>
              <w:t>RP Chair</w:t>
            </w:r>
            <w:r w:rsidR="00CC383A" w:rsidRPr="000B2312">
              <w:rPr>
                <w:rFonts w:cs="Calibri"/>
                <w:b/>
                <w:sz w:val="24"/>
                <w:szCs w:val="24"/>
              </w:rPr>
              <w:t xml:space="preserve"> – </w:t>
            </w:r>
            <w:r w:rsidR="00C130BE" w:rsidRPr="000B2312">
              <w:rPr>
                <w:rFonts w:cs="Calibri"/>
                <w:b/>
                <w:sz w:val="24"/>
                <w:szCs w:val="24"/>
              </w:rPr>
              <w:t>(</w:t>
            </w:r>
            <w:r w:rsidR="00CC383A" w:rsidRPr="000B2312">
              <w:rPr>
                <w:rFonts w:cs="Calibri"/>
                <w:b/>
                <w:sz w:val="24"/>
                <w:szCs w:val="24"/>
              </w:rPr>
              <w:t>Head of Service</w:t>
            </w:r>
            <w:r w:rsidR="00C130BE" w:rsidRPr="000B2312">
              <w:rPr>
                <w:rFonts w:cs="Calibri"/>
                <w:b/>
                <w:sz w:val="24"/>
                <w:szCs w:val="24"/>
              </w:rPr>
              <w:t xml:space="preserve"> / Deputy Head)</w:t>
            </w:r>
          </w:p>
          <w:p w14:paraId="3799EDF1" w14:textId="77777777" w:rsidR="00B23AF3" w:rsidRPr="00306951" w:rsidRDefault="00AA3CAF" w:rsidP="00FE47D6">
            <w:pPr>
              <w:spacing w:after="0" w:line="360" w:lineRule="auto"/>
              <w:rPr>
                <w:rFonts w:cs="Calibri"/>
                <w:b/>
                <w:sz w:val="24"/>
                <w:szCs w:val="24"/>
              </w:rPr>
            </w:pPr>
            <w:r w:rsidRPr="000B2312">
              <w:rPr>
                <w:sz w:val="24"/>
                <w:szCs w:val="24"/>
              </w:rPr>
              <w:t xml:space="preserve">The HRP is not an appropriate forum for in depth case discussions due to the complexity of some of the cases. At the start of the meeting the chair will go through the confidentiality and diversity statement with the panel (see </w:t>
            </w:r>
            <w:r w:rsidRPr="000B2312">
              <w:rPr>
                <w:b/>
                <w:bCs/>
                <w:sz w:val="24"/>
                <w:szCs w:val="24"/>
                <w:u w:val="single"/>
              </w:rPr>
              <w:t>Appendix</w:t>
            </w:r>
            <w:r w:rsidR="00FE47D6">
              <w:rPr>
                <w:b/>
                <w:bCs/>
                <w:sz w:val="24"/>
                <w:szCs w:val="24"/>
                <w:u w:val="single"/>
              </w:rPr>
              <w:t xml:space="preserve"> </w:t>
            </w:r>
            <w:r w:rsidRPr="000B2312">
              <w:rPr>
                <w:b/>
                <w:bCs/>
                <w:sz w:val="24"/>
                <w:szCs w:val="24"/>
                <w:u w:val="single"/>
              </w:rPr>
              <w:t>2</w:t>
            </w:r>
            <w:r w:rsidRPr="000B2312">
              <w:rPr>
                <w:sz w:val="24"/>
                <w:szCs w:val="24"/>
              </w:rPr>
              <w:t>)</w:t>
            </w:r>
            <w:r w:rsidR="00B23AF3" w:rsidRPr="000B2312">
              <w:rPr>
                <w:sz w:val="24"/>
                <w:szCs w:val="24"/>
              </w:rPr>
              <w:t xml:space="preserve">. The Panel’s role is to ensure that a lead agency is identified that appropriate resources are allocated by the agencies involved and that inter-agency working is effective. In the majority of cases and where the </w:t>
            </w:r>
            <w:proofErr w:type="gramStart"/>
            <w:r w:rsidR="00B23AF3" w:rsidRPr="000B2312">
              <w:rPr>
                <w:sz w:val="24"/>
                <w:szCs w:val="24"/>
              </w:rPr>
              <w:t>Young</w:t>
            </w:r>
            <w:proofErr w:type="gramEnd"/>
            <w:r w:rsidR="00B23AF3" w:rsidRPr="000B2312">
              <w:rPr>
                <w:sz w:val="24"/>
                <w:szCs w:val="24"/>
              </w:rPr>
              <w:t xml:space="preserve"> person is subject to a Youth justice intervention, the YOS will generally act as the lead agency. However, if the Young person is looked after or subject to a child protection plan, Children’s Service will take the lead, ensuring integrated working with the YOS in relation to Youth justice interventions. The HRP will only focus on those areas where the Young person has been assessed as high risk.</w:t>
            </w:r>
          </w:p>
          <w:p w14:paraId="274A1929" w14:textId="77777777" w:rsidR="00B23AF3" w:rsidRPr="000B2312" w:rsidRDefault="00B23AF3" w:rsidP="000B2312">
            <w:pPr>
              <w:pStyle w:val="NoSpacing"/>
              <w:spacing w:line="360" w:lineRule="auto"/>
              <w:rPr>
                <w:sz w:val="24"/>
                <w:szCs w:val="24"/>
              </w:rPr>
            </w:pPr>
          </w:p>
          <w:p w14:paraId="60B3EEDE" w14:textId="77777777" w:rsidR="00B23AF3" w:rsidRPr="00832F8F" w:rsidRDefault="00B23AF3" w:rsidP="000B2312">
            <w:pPr>
              <w:pStyle w:val="NoSpacing"/>
              <w:spacing w:line="360" w:lineRule="auto"/>
              <w:rPr>
                <w:rFonts w:cs="Calibri"/>
              </w:rPr>
            </w:pPr>
            <w:r w:rsidRPr="000B2312">
              <w:rPr>
                <w:rFonts w:cs="Calibri"/>
                <w:sz w:val="24"/>
                <w:szCs w:val="24"/>
              </w:rPr>
              <w:t>The HRP will review and check plans and actions being implemented and agree any changes to them.  The Panel will also agree any referrals to MAPPA and/or safeguarding, and to specialists/partners</w:t>
            </w:r>
            <w:r w:rsidR="00B75102" w:rsidRPr="000B2312">
              <w:rPr>
                <w:rFonts w:cs="Calibri"/>
                <w:sz w:val="24"/>
                <w:szCs w:val="24"/>
              </w:rPr>
              <w:t>.</w:t>
            </w:r>
          </w:p>
        </w:tc>
        <w:tc>
          <w:tcPr>
            <w:tcW w:w="426" w:type="dxa"/>
          </w:tcPr>
          <w:p w14:paraId="71DFA498" w14:textId="77777777" w:rsidR="00B23AF3" w:rsidRPr="00832F8F" w:rsidRDefault="00B23AF3" w:rsidP="004A26D5">
            <w:pPr>
              <w:spacing w:after="0" w:line="240" w:lineRule="auto"/>
              <w:jc w:val="both"/>
              <w:rPr>
                <w:rFonts w:cs="Calibri"/>
              </w:rPr>
            </w:pPr>
          </w:p>
        </w:tc>
      </w:tr>
      <w:tr w:rsidR="00B23AF3" w:rsidRPr="00832F8F" w14:paraId="72BEAF44" w14:textId="77777777" w:rsidTr="004A26D5">
        <w:tc>
          <w:tcPr>
            <w:tcW w:w="10348" w:type="dxa"/>
          </w:tcPr>
          <w:p w14:paraId="26665A96" w14:textId="77777777" w:rsidR="00B23AF3" w:rsidRPr="000B2312" w:rsidRDefault="00B23AF3" w:rsidP="00C12E6E">
            <w:pPr>
              <w:pStyle w:val="NoSpacing"/>
              <w:spacing w:line="360" w:lineRule="auto"/>
              <w:rPr>
                <w:sz w:val="24"/>
                <w:szCs w:val="24"/>
              </w:rPr>
            </w:pPr>
          </w:p>
          <w:p w14:paraId="3FAE0582" w14:textId="77777777" w:rsidR="00B23AF3" w:rsidRPr="000B2312" w:rsidRDefault="00B23AF3" w:rsidP="00C12E6E">
            <w:pPr>
              <w:pStyle w:val="NoSpacing"/>
              <w:spacing w:line="360" w:lineRule="auto"/>
              <w:rPr>
                <w:sz w:val="24"/>
                <w:szCs w:val="24"/>
              </w:rPr>
            </w:pPr>
            <w:r w:rsidRPr="000B2312">
              <w:rPr>
                <w:sz w:val="24"/>
                <w:szCs w:val="24"/>
              </w:rPr>
              <w:t xml:space="preserve">The HRP support officer will be responsible for the overall scheduling of cases for the Panel - initial cases to be scheduled for </w:t>
            </w:r>
            <w:r w:rsidR="00245219" w:rsidRPr="000B2312">
              <w:rPr>
                <w:sz w:val="24"/>
                <w:szCs w:val="24"/>
              </w:rPr>
              <w:t>1hr</w:t>
            </w:r>
            <w:r w:rsidRPr="000B2312">
              <w:rPr>
                <w:sz w:val="24"/>
                <w:szCs w:val="24"/>
              </w:rPr>
              <w:t xml:space="preserve"> minutes discussion and decision making. Review cases for </w:t>
            </w:r>
            <w:r w:rsidR="00245219" w:rsidRPr="000B2312">
              <w:rPr>
                <w:sz w:val="24"/>
                <w:szCs w:val="24"/>
              </w:rPr>
              <w:t>30</w:t>
            </w:r>
            <w:r w:rsidRPr="000B2312">
              <w:rPr>
                <w:sz w:val="24"/>
                <w:szCs w:val="24"/>
              </w:rPr>
              <w:t xml:space="preserve"> minutes discussion.</w:t>
            </w:r>
          </w:p>
          <w:p w14:paraId="12161DFA" w14:textId="77777777" w:rsidR="00B23AF3" w:rsidRPr="00832F8F" w:rsidRDefault="00B23AF3" w:rsidP="00C12E6E">
            <w:pPr>
              <w:pStyle w:val="NoSpacing"/>
              <w:spacing w:line="360" w:lineRule="auto"/>
            </w:pPr>
          </w:p>
          <w:p w14:paraId="7588B9D0" w14:textId="77777777" w:rsidR="00B23AF3" w:rsidRPr="000B2312" w:rsidRDefault="00B23AF3" w:rsidP="00C12E6E">
            <w:pPr>
              <w:pStyle w:val="NoSpacing"/>
              <w:spacing w:line="360" w:lineRule="auto"/>
              <w:rPr>
                <w:b/>
                <w:sz w:val="24"/>
                <w:szCs w:val="24"/>
              </w:rPr>
            </w:pPr>
            <w:r w:rsidRPr="000B2312">
              <w:rPr>
                <w:b/>
                <w:sz w:val="24"/>
                <w:szCs w:val="24"/>
              </w:rPr>
              <w:t>Frequency of meetings</w:t>
            </w:r>
          </w:p>
          <w:p w14:paraId="194D5108" w14:textId="77777777" w:rsidR="00B23AF3" w:rsidRDefault="00B23AF3" w:rsidP="00C12E6E">
            <w:pPr>
              <w:pStyle w:val="NoSpacing"/>
              <w:spacing w:line="360" w:lineRule="auto"/>
            </w:pPr>
            <w:r w:rsidRPr="000B2312">
              <w:rPr>
                <w:sz w:val="24"/>
                <w:szCs w:val="24"/>
              </w:rPr>
              <w:t xml:space="preserve">High Risk panels will be held weekly on </w:t>
            </w:r>
            <w:r w:rsidRPr="000B2312">
              <w:rPr>
                <w:b/>
                <w:sz w:val="24"/>
                <w:szCs w:val="24"/>
              </w:rPr>
              <w:t>Tuesdays 9.30 to 1</w:t>
            </w:r>
            <w:r w:rsidR="00D63E0A" w:rsidRPr="000B2312">
              <w:rPr>
                <w:b/>
                <w:sz w:val="24"/>
                <w:szCs w:val="24"/>
              </w:rPr>
              <w:t>4:00</w:t>
            </w:r>
            <w:r w:rsidRPr="000B2312">
              <w:rPr>
                <w:b/>
                <w:sz w:val="24"/>
                <w:szCs w:val="24"/>
              </w:rPr>
              <w:t xml:space="preserve">pm; </w:t>
            </w:r>
            <w:r w:rsidRPr="000B2312">
              <w:rPr>
                <w:sz w:val="24"/>
                <w:szCs w:val="24"/>
              </w:rPr>
              <w:t xml:space="preserve">all papers </w:t>
            </w:r>
            <w:r w:rsidRPr="000B2312">
              <w:rPr>
                <w:b/>
                <w:sz w:val="24"/>
                <w:szCs w:val="24"/>
              </w:rPr>
              <w:t>MUST</w:t>
            </w:r>
            <w:r w:rsidRPr="000B2312">
              <w:rPr>
                <w:sz w:val="24"/>
                <w:szCs w:val="24"/>
              </w:rPr>
              <w:t xml:space="preserve"> be made available by midday on </w:t>
            </w:r>
            <w:r w:rsidR="00D63E0A" w:rsidRPr="000B2312">
              <w:rPr>
                <w:b/>
                <w:sz w:val="24"/>
                <w:szCs w:val="24"/>
              </w:rPr>
              <w:t>Thursdays</w:t>
            </w:r>
            <w:r w:rsidRPr="000B2312">
              <w:rPr>
                <w:sz w:val="24"/>
                <w:szCs w:val="24"/>
              </w:rPr>
              <w:t xml:space="preserve"> before the meeting at the latest so they can be sent via secure email</w:t>
            </w:r>
            <w:r w:rsidRPr="000B2312">
              <w:rPr>
                <w:b/>
                <w:sz w:val="24"/>
                <w:szCs w:val="24"/>
              </w:rPr>
              <w:t xml:space="preserve"> </w:t>
            </w:r>
            <w:r w:rsidRPr="000B2312">
              <w:rPr>
                <w:sz w:val="24"/>
                <w:szCs w:val="24"/>
              </w:rPr>
              <w:t>to all attendees. It is expected that all members will have read the documents prior to the meeting so that the focus is on decision making and monitoring.</w:t>
            </w:r>
            <w:r w:rsidRPr="000B2312">
              <w:rPr>
                <w:b/>
                <w:sz w:val="24"/>
                <w:szCs w:val="24"/>
              </w:rPr>
              <w:t xml:space="preserve"> </w:t>
            </w:r>
            <w:r w:rsidRPr="000B2312">
              <w:rPr>
                <w:sz w:val="24"/>
                <w:szCs w:val="24"/>
              </w:rPr>
              <w:t>The Chair will review the papers for the cases to be discussed at that week’s panel before the panel commences</w:t>
            </w:r>
            <w:r w:rsidRPr="00832F8F">
              <w:t>.</w:t>
            </w:r>
          </w:p>
          <w:p w14:paraId="462A6C1C" w14:textId="77777777" w:rsidR="00B23AF3" w:rsidRPr="00832F8F" w:rsidRDefault="00B23AF3" w:rsidP="00C8722A">
            <w:pPr>
              <w:spacing w:after="0" w:line="360" w:lineRule="auto"/>
              <w:rPr>
                <w:rFonts w:cs="Calibri"/>
              </w:rPr>
            </w:pPr>
          </w:p>
          <w:p w14:paraId="64823D98" w14:textId="77777777" w:rsidR="00EE2C95" w:rsidRPr="000B2312" w:rsidRDefault="00B23AF3" w:rsidP="00C12E6E">
            <w:pPr>
              <w:pStyle w:val="NoSpacing"/>
              <w:spacing w:line="360" w:lineRule="auto"/>
              <w:rPr>
                <w:sz w:val="24"/>
                <w:szCs w:val="24"/>
              </w:rPr>
            </w:pPr>
            <w:r w:rsidRPr="000B2312">
              <w:rPr>
                <w:sz w:val="24"/>
                <w:szCs w:val="24"/>
              </w:rPr>
              <w:t>The Panel will agree:</w:t>
            </w:r>
          </w:p>
          <w:p w14:paraId="7381DEBC" w14:textId="77777777" w:rsidR="00B23AF3" w:rsidRPr="000B2312" w:rsidRDefault="00B23AF3" w:rsidP="00C12E6E">
            <w:pPr>
              <w:pStyle w:val="NoSpacing"/>
              <w:numPr>
                <w:ilvl w:val="0"/>
                <w:numId w:val="31"/>
              </w:numPr>
              <w:spacing w:line="360" w:lineRule="auto"/>
              <w:rPr>
                <w:sz w:val="24"/>
                <w:szCs w:val="24"/>
              </w:rPr>
            </w:pPr>
            <w:r w:rsidRPr="000B2312">
              <w:rPr>
                <w:sz w:val="24"/>
                <w:szCs w:val="24"/>
              </w:rPr>
              <w:t>All plans, plan amendments and additions and associated actions</w:t>
            </w:r>
          </w:p>
          <w:p w14:paraId="584ACF6D" w14:textId="77777777" w:rsidR="00B23AF3" w:rsidRPr="000B2312" w:rsidRDefault="00B23AF3" w:rsidP="00C12E6E">
            <w:pPr>
              <w:pStyle w:val="NoSpacing"/>
              <w:numPr>
                <w:ilvl w:val="0"/>
                <w:numId w:val="31"/>
              </w:numPr>
              <w:spacing w:line="360" w:lineRule="auto"/>
              <w:rPr>
                <w:sz w:val="24"/>
                <w:szCs w:val="24"/>
              </w:rPr>
            </w:pPr>
            <w:r w:rsidRPr="000B2312">
              <w:rPr>
                <w:sz w:val="24"/>
                <w:szCs w:val="24"/>
              </w:rPr>
              <w:t>Referrals to MAPPA, Safeguarding and other specialists/agencies</w:t>
            </w:r>
          </w:p>
          <w:p w14:paraId="49046FA0" w14:textId="77777777" w:rsidR="00B23AF3" w:rsidRPr="000B2312" w:rsidRDefault="00B23AF3" w:rsidP="00C12E6E">
            <w:pPr>
              <w:pStyle w:val="NoSpacing"/>
              <w:numPr>
                <w:ilvl w:val="0"/>
                <w:numId w:val="31"/>
              </w:numPr>
              <w:spacing w:line="360" w:lineRule="auto"/>
              <w:rPr>
                <w:sz w:val="24"/>
                <w:szCs w:val="24"/>
              </w:rPr>
            </w:pPr>
            <w:r w:rsidRPr="000B2312">
              <w:rPr>
                <w:sz w:val="24"/>
                <w:szCs w:val="24"/>
              </w:rPr>
              <w:t>Any other appropriate actions</w:t>
            </w:r>
          </w:p>
          <w:p w14:paraId="4A3B1D99" w14:textId="77777777" w:rsidR="00B23AF3" w:rsidRPr="000B2312" w:rsidRDefault="00B23AF3" w:rsidP="00C12E6E">
            <w:pPr>
              <w:pStyle w:val="NoSpacing"/>
              <w:numPr>
                <w:ilvl w:val="0"/>
                <w:numId w:val="31"/>
              </w:numPr>
              <w:spacing w:line="360" w:lineRule="auto"/>
              <w:rPr>
                <w:sz w:val="24"/>
                <w:szCs w:val="24"/>
              </w:rPr>
            </w:pPr>
            <w:r w:rsidRPr="000B2312">
              <w:rPr>
                <w:sz w:val="24"/>
                <w:szCs w:val="24"/>
              </w:rPr>
              <w:t xml:space="preserve">The date of the next review </w:t>
            </w:r>
          </w:p>
          <w:p w14:paraId="58EB5391" w14:textId="77777777" w:rsidR="00B23AF3" w:rsidRPr="00832F8F" w:rsidRDefault="00B23AF3" w:rsidP="00C12E6E">
            <w:pPr>
              <w:spacing w:after="0" w:line="360" w:lineRule="auto"/>
              <w:jc w:val="both"/>
              <w:rPr>
                <w:rFonts w:cs="Calibri"/>
              </w:rPr>
            </w:pPr>
          </w:p>
          <w:p w14:paraId="56F1CB79" w14:textId="77777777" w:rsidR="00B23AF3" w:rsidRPr="000B2312" w:rsidRDefault="00B23AF3" w:rsidP="00C12E6E">
            <w:pPr>
              <w:pStyle w:val="NoSpacing"/>
              <w:spacing w:line="360" w:lineRule="auto"/>
              <w:rPr>
                <w:sz w:val="24"/>
                <w:szCs w:val="24"/>
              </w:rPr>
            </w:pPr>
            <w:r w:rsidRPr="000B2312">
              <w:rPr>
                <w:sz w:val="24"/>
                <w:szCs w:val="24"/>
              </w:rPr>
              <w:t xml:space="preserve">The Chair will expect the case manager to summarise the </w:t>
            </w:r>
            <w:r w:rsidR="00D63E0A" w:rsidRPr="000B2312">
              <w:rPr>
                <w:sz w:val="24"/>
                <w:szCs w:val="24"/>
              </w:rPr>
              <w:t>high-risk</w:t>
            </w:r>
            <w:r w:rsidRPr="000B2312">
              <w:rPr>
                <w:sz w:val="24"/>
                <w:szCs w:val="24"/>
              </w:rPr>
              <w:t xml:space="preserve"> concerns at the Enfield YOS High Risk </w:t>
            </w:r>
            <w:r w:rsidR="00D63E0A" w:rsidRPr="000B2312">
              <w:rPr>
                <w:sz w:val="24"/>
                <w:szCs w:val="24"/>
              </w:rPr>
              <w:t>Panel as</w:t>
            </w:r>
            <w:r w:rsidRPr="000B2312">
              <w:rPr>
                <w:sz w:val="24"/>
                <w:szCs w:val="24"/>
              </w:rPr>
              <w:t xml:space="preserve"> a way of ensuring all appropriate risk/safety and well-being issues have been considered and discussed as part of the Panel discussion. The case manager should take any revised intervention plan and or risk management plan to the TAC planning meeting. Once the plan is finalised, the case manager should email the Chair for a final check and sign off.</w:t>
            </w:r>
          </w:p>
          <w:p w14:paraId="1517CD15" w14:textId="77777777" w:rsidR="00B23AF3" w:rsidRPr="00832F8F" w:rsidRDefault="00B23AF3" w:rsidP="00C12E6E">
            <w:pPr>
              <w:pStyle w:val="NoSpacing"/>
              <w:spacing w:line="360" w:lineRule="auto"/>
            </w:pPr>
          </w:p>
          <w:p w14:paraId="4D23563A" w14:textId="77777777" w:rsidR="00B23AF3" w:rsidRPr="000B2312" w:rsidRDefault="00B23AF3" w:rsidP="00C12E6E">
            <w:pPr>
              <w:pStyle w:val="NoSpacing"/>
              <w:spacing w:line="360" w:lineRule="auto"/>
              <w:rPr>
                <w:b/>
                <w:sz w:val="24"/>
                <w:szCs w:val="24"/>
              </w:rPr>
            </w:pPr>
            <w:r w:rsidRPr="000B2312">
              <w:rPr>
                <w:b/>
                <w:sz w:val="24"/>
                <w:szCs w:val="24"/>
              </w:rPr>
              <w:t>Administration</w:t>
            </w:r>
          </w:p>
          <w:p w14:paraId="5FAFC05E" w14:textId="77777777" w:rsidR="00B23AF3" w:rsidRPr="000B2312" w:rsidRDefault="00B23AF3" w:rsidP="00C12E6E">
            <w:pPr>
              <w:pStyle w:val="NoSpacing"/>
              <w:spacing w:line="360" w:lineRule="auto"/>
              <w:rPr>
                <w:sz w:val="24"/>
                <w:szCs w:val="24"/>
              </w:rPr>
            </w:pPr>
            <w:r w:rsidRPr="000B2312">
              <w:rPr>
                <w:sz w:val="24"/>
                <w:szCs w:val="24"/>
              </w:rPr>
              <w:t>The HRP support officer will record the details of the Panel</w:t>
            </w:r>
            <w:r w:rsidR="00C46B50" w:rsidRPr="000B2312">
              <w:rPr>
                <w:sz w:val="24"/>
                <w:szCs w:val="24"/>
              </w:rPr>
              <w:t xml:space="preserve"> on a tracker</w:t>
            </w:r>
            <w:r w:rsidRPr="000B2312">
              <w:rPr>
                <w:sz w:val="24"/>
                <w:szCs w:val="24"/>
              </w:rPr>
              <w:t xml:space="preserve">, including who attends, summary of concerns; desistance factors key actions agreed and who is responsible for the actions and the date of the next review on CVYJ. The review date for each case will be agreed at the initial Panel. This will be no longer than 3 months but may be a shorter period depending on the presenting risks. </w:t>
            </w:r>
          </w:p>
          <w:p w14:paraId="7473B30F" w14:textId="77777777" w:rsidR="00B23AF3" w:rsidRPr="000B2312" w:rsidRDefault="00B23AF3" w:rsidP="00C12E6E">
            <w:pPr>
              <w:pStyle w:val="NoSpacing"/>
              <w:spacing w:line="360" w:lineRule="auto"/>
              <w:rPr>
                <w:sz w:val="24"/>
                <w:szCs w:val="24"/>
              </w:rPr>
            </w:pPr>
          </w:p>
          <w:p w14:paraId="15A92948" w14:textId="77777777" w:rsidR="00B23AF3" w:rsidRPr="000B2312" w:rsidRDefault="00B23AF3" w:rsidP="00C12E6E">
            <w:pPr>
              <w:pStyle w:val="NoSpacing"/>
              <w:spacing w:line="360" w:lineRule="auto"/>
              <w:rPr>
                <w:sz w:val="24"/>
                <w:szCs w:val="24"/>
              </w:rPr>
            </w:pPr>
            <w:r w:rsidRPr="000B2312">
              <w:rPr>
                <w:sz w:val="24"/>
                <w:szCs w:val="24"/>
              </w:rPr>
              <w:t>A reduction in risk</w:t>
            </w:r>
            <w:r w:rsidR="00FE47D6">
              <w:rPr>
                <w:sz w:val="24"/>
                <w:szCs w:val="24"/>
              </w:rPr>
              <w:t xml:space="preserve"> </w:t>
            </w:r>
            <w:r w:rsidRPr="000B2312">
              <w:rPr>
                <w:sz w:val="24"/>
                <w:szCs w:val="24"/>
              </w:rPr>
              <w:t>/</w:t>
            </w:r>
            <w:r w:rsidR="00FE47D6">
              <w:rPr>
                <w:sz w:val="24"/>
                <w:szCs w:val="24"/>
              </w:rPr>
              <w:t xml:space="preserve"> </w:t>
            </w:r>
            <w:r w:rsidRPr="000B2312">
              <w:rPr>
                <w:sz w:val="24"/>
                <w:szCs w:val="24"/>
              </w:rPr>
              <w:t>safety and well-being risk levels</w:t>
            </w:r>
            <w:r w:rsidR="00297D67" w:rsidRPr="000B2312">
              <w:rPr>
                <w:sz w:val="24"/>
                <w:szCs w:val="24"/>
              </w:rPr>
              <w:t xml:space="preserve"> to medium and below that has been agreed by the line manager and HRP chair</w:t>
            </w:r>
            <w:r w:rsidRPr="000B2312">
              <w:rPr>
                <w:sz w:val="24"/>
                <w:szCs w:val="24"/>
              </w:rPr>
              <w:t xml:space="preserve"> will result in the case no longer being required to come to the HRP. The HRP will agree an exit strategy at least 4 weeks before the case closes and organise any ongoing monitoring arrangements required. </w:t>
            </w:r>
          </w:p>
          <w:p w14:paraId="15A1791D" w14:textId="77777777" w:rsidR="00B23AF3" w:rsidRPr="00832F8F" w:rsidRDefault="00B23AF3" w:rsidP="00C12E6E">
            <w:pPr>
              <w:pStyle w:val="NoSpacing"/>
              <w:spacing w:line="360" w:lineRule="auto"/>
            </w:pPr>
          </w:p>
        </w:tc>
        <w:tc>
          <w:tcPr>
            <w:tcW w:w="426" w:type="dxa"/>
          </w:tcPr>
          <w:p w14:paraId="6EB00BB9" w14:textId="77777777" w:rsidR="00B23AF3" w:rsidRPr="00832F8F" w:rsidRDefault="00B23AF3" w:rsidP="004A26D5">
            <w:pPr>
              <w:spacing w:after="0" w:line="240" w:lineRule="auto"/>
              <w:jc w:val="both"/>
              <w:rPr>
                <w:rFonts w:cs="Calibri"/>
              </w:rPr>
            </w:pPr>
          </w:p>
        </w:tc>
      </w:tr>
      <w:tr w:rsidR="00B23AF3" w:rsidRPr="00832F8F" w14:paraId="5A6EEEAC" w14:textId="77777777" w:rsidTr="004A26D5">
        <w:tc>
          <w:tcPr>
            <w:tcW w:w="10348" w:type="dxa"/>
          </w:tcPr>
          <w:p w14:paraId="1856B5AC" w14:textId="77777777" w:rsidR="00B23AF3" w:rsidRPr="000B2312" w:rsidRDefault="00B23AF3" w:rsidP="00C12E6E">
            <w:pPr>
              <w:pStyle w:val="NoSpacing"/>
              <w:spacing w:line="360" w:lineRule="auto"/>
              <w:rPr>
                <w:b/>
                <w:sz w:val="24"/>
                <w:szCs w:val="24"/>
              </w:rPr>
            </w:pPr>
            <w:r w:rsidRPr="000B2312">
              <w:rPr>
                <w:b/>
                <w:sz w:val="24"/>
                <w:szCs w:val="24"/>
              </w:rPr>
              <w:t>Actions following the HRP</w:t>
            </w:r>
          </w:p>
        </w:tc>
        <w:tc>
          <w:tcPr>
            <w:tcW w:w="426" w:type="dxa"/>
          </w:tcPr>
          <w:p w14:paraId="51844599" w14:textId="77777777" w:rsidR="00B23AF3" w:rsidRPr="00832F8F" w:rsidRDefault="00B23AF3" w:rsidP="004A26D5">
            <w:pPr>
              <w:spacing w:after="0" w:line="240" w:lineRule="auto"/>
              <w:jc w:val="both"/>
              <w:rPr>
                <w:rFonts w:cs="Calibri"/>
              </w:rPr>
            </w:pPr>
          </w:p>
        </w:tc>
      </w:tr>
      <w:tr w:rsidR="00B23AF3" w:rsidRPr="00832F8F" w14:paraId="22060F34" w14:textId="77777777" w:rsidTr="004A26D5">
        <w:tc>
          <w:tcPr>
            <w:tcW w:w="10348" w:type="dxa"/>
          </w:tcPr>
          <w:p w14:paraId="6CC7327E" w14:textId="77777777" w:rsidR="00B23AF3" w:rsidRPr="000B2312" w:rsidRDefault="00B23AF3" w:rsidP="000B2312">
            <w:pPr>
              <w:pStyle w:val="NoSpacing"/>
              <w:spacing w:line="360" w:lineRule="auto"/>
              <w:rPr>
                <w:sz w:val="24"/>
                <w:szCs w:val="24"/>
              </w:rPr>
            </w:pPr>
            <w:r w:rsidRPr="000B2312">
              <w:rPr>
                <w:sz w:val="24"/>
                <w:szCs w:val="24"/>
              </w:rPr>
              <w:t>The case manager will be responsible for updating any plans within 24 hours of the Panel. Any final risk management sections of the intervention plan must be presented back to the Chair for final checking and countersigning. The Chair will then notify the HRP support officer of any copies that need to be sent to external partners.</w:t>
            </w:r>
          </w:p>
          <w:p w14:paraId="30E90F33" w14:textId="77777777" w:rsidR="00B23AF3" w:rsidRPr="000B2312" w:rsidRDefault="00B23AF3" w:rsidP="000B2312">
            <w:pPr>
              <w:pStyle w:val="NoSpacing"/>
              <w:spacing w:line="360" w:lineRule="auto"/>
              <w:rPr>
                <w:sz w:val="24"/>
                <w:szCs w:val="24"/>
              </w:rPr>
            </w:pPr>
          </w:p>
        </w:tc>
        <w:tc>
          <w:tcPr>
            <w:tcW w:w="426" w:type="dxa"/>
          </w:tcPr>
          <w:p w14:paraId="77F8E214" w14:textId="77777777" w:rsidR="00B23AF3" w:rsidRPr="00832F8F" w:rsidRDefault="00B23AF3" w:rsidP="004A26D5">
            <w:pPr>
              <w:spacing w:after="0" w:line="240" w:lineRule="auto"/>
              <w:jc w:val="both"/>
              <w:rPr>
                <w:rFonts w:cs="Calibri"/>
              </w:rPr>
            </w:pPr>
          </w:p>
        </w:tc>
      </w:tr>
      <w:tr w:rsidR="00B23AF3" w:rsidRPr="00832F8F" w14:paraId="7ACF62F1" w14:textId="77777777" w:rsidTr="004A26D5">
        <w:tc>
          <w:tcPr>
            <w:tcW w:w="10348" w:type="dxa"/>
          </w:tcPr>
          <w:p w14:paraId="5D821422" w14:textId="77777777" w:rsidR="00B23AF3" w:rsidRPr="000B2312" w:rsidRDefault="00B23AF3" w:rsidP="00C12E6E">
            <w:pPr>
              <w:pStyle w:val="NoSpacing"/>
              <w:spacing w:line="360" w:lineRule="auto"/>
              <w:rPr>
                <w:sz w:val="24"/>
                <w:szCs w:val="24"/>
              </w:rPr>
            </w:pPr>
            <w:r w:rsidRPr="000B2312">
              <w:rPr>
                <w:sz w:val="24"/>
                <w:szCs w:val="24"/>
              </w:rPr>
              <w:t xml:space="preserve">The HRP support officer will be responsible for notifying all invitees of the date of the review and will implement a ‘reminder’ process to the case manager to prepare papers </w:t>
            </w:r>
            <w:r w:rsidRPr="000B2312">
              <w:rPr>
                <w:b/>
                <w:sz w:val="24"/>
                <w:szCs w:val="24"/>
              </w:rPr>
              <w:t xml:space="preserve">two </w:t>
            </w:r>
            <w:r w:rsidRPr="000B2312">
              <w:rPr>
                <w:sz w:val="24"/>
                <w:szCs w:val="24"/>
              </w:rPr>
              <w:t>weeks before the review is due. The case manager will update the assessments and plans in preparation for the HRP review, so that papers can be emailed to and read by HRP members beforehand.</w:t>
            </w:r>
          </w:p>
        </w:tc>
        <w:tc>
          <w:tcPr>
            <w:tcW w:w="426" w:type="dxa"/>
          </w:tcPr>
          <w:p w14:paraId="624B38D0" w14:textId="77777777" w:rsidR="00B23AF3" w:rsidRPr="00832F8F" w:rsidRDefault="00B23AF3" w:rsidP="004A26D5">
            <w:pPr>
              <w:spacing w:after="0" w:line="240" w:lineRule="auto"/>
              <w:jc w:val="both"/>
              <w:rPr>
                <w:rFonts w:cs="Calibri"/>
              </w:rPr>
            </w:pPr>
          </w:p>
        </w:tc>
      </w:tr>
      <w:tr w:rsidR="00B23AF3" w:rsidRPr="00832F8F" w14:paraId="1AD7FFC4" w14:textId="77777777" w:rsidTr="004A26D5">
        <w:tc>
          <w:tcPr>
            <w:tcW w:w="10348" w:type="dxa"/>
          </w:tcPr>
          <w:p w14:paraId="0113C086" w14:textId="77777777" w:rsidR="00D63E0A" w:rsidRDefault="00D63E0A" w:rsidP="00C12E6E">
            <w:pPr>
              <w:spacing w:after="0" w:line="360" w:lineRule="auto"/>
              <w:jc w:val="both"/>
              <w:rPr>
                <w:rFonts w:cs="Calibri"/>
                <w:sz w:val="24"/>
                <w:szCs w:val="24"/>
              </w:rPr>
            </w:pPr>
          </w:p>
          <w:p w14:paraId="6DCD89A7" w14:textId="77777777" w:rsidR="00FD1534" w:rsidRDefault="00FD1534" w:rsidP="00C12E6E">
            <w:pPr>
              <w:spacing w:after="0" w:line="360" w:lineRule="auto"/>
              <w:jc w:val="both"/>
              <w:rPr>
                <w:rFonts w:cs="Calibri"/>
                <w:sz w:val="24"/>
                <w:szCs w:val="24"/>
              </w:rPr>
            </w:pPr>
          </w:p>
          <w:p w14:paraId="0126B59F" w14:textId="77777777" w:rsidR="00FD1534" w:rsidRDefault="00FD1534" w:rsidP="00C12E6E">
            <w:pPr>
              <w:spacing w:after="0" w:line="360" w:lineRule="auto"/>
              <w:jc w:val="both"/>
              <w:rPr>
                <w:rFonts w:cs="Calibri"/>
                <w:sz w:val="24"/>
                <w:szCs w:val="24"/>
              </w:rPr>
            </w:pPr>
          </w:p>
          <w:p w14:paraId="45124DA2" w14:textId="77777777" w:rsidR="00FD1534" w:rsidRPr="000B2312" w:rsidRDefault="00FD1534" w:rsidP="00C12E6E">
            <w:pPr>
              <w:spacing w:after="0" w:line="360" w:lineRule="auto"/>
              <w:jc w:val="both"/>
              <w:rPr>
                <w:rFonts w:cs="Calibri"/>
                <w:sz w:val="24"/>
                <w:szCs w:val="24"/>
              </w:rPr>
            </w:pPr>
          </w:p>
          <w:p w14:paraId="6A391485" w14:textId="77777777" w:rsidR="00C12E6E" w:rsidRDefault="00B23AF3" w:rsidP="00C12E6E">
            <w:pPr>
              <w:pStyle w:val="NoSpacing"/>
              <w:spacing w:line="360" w:lineRule="auto"/>
              <w:rPr>
                <w:b/>
                <w:sz w:val="24"/>
                <w:szCs w:val="24"/>
              </w:rPr>
            </w:pPr>
            <w:r w:rsidRPr="000B2312">
              <w:rPr>
                <w:b/>
                <w:sz w:val="24"/>
                <w:szCs w:val="24"/>
              </w:rPr>
              <w:t>Panel membership</w:t>
            </w:r>
          </w:p>
          <w:p w14:paraId="2AD5215D" w14:textId="77777777" w:rsidR="005A17A6" w:rsidRPr="00C12E6E" w:rsidRDefault="00B23AF3" w:rsidP="00C12E6E">
            <w:pPr>
              <w:pStyle w:val="NoSpacing"/>
              <w:spacing w:line="360" w:lineRule="auto"/>
              <w:rPr>
                <w:b/>
                <w:sz w:val="24"/>
                <w:szCs w:val="24"/>
              </w:rPr>
            </w:pPr>
            <w:r w:rsidRPr="000B2312">
              <w:rPr>
                <w:sz w:val="24"/>
                <w:szCs w:val="24"/>
              </w:rPr>
              <w:t xml:space="preserve">The Panel will meet weekly for a period of approximately </w:t>
            </w:r>
            <w:r w:rsidR="00527931" w:rsidRPr="000B2312">
              <w:rPr>
                <w:sz w:val="24"/>
                <w:szCs w:val="24"/>
              </w:rPr>
              <w:t>3</w:t>
            </w:r>
            <w:r w:rsidRPr="000B2312">
              <w:rPr>
                <w:sz w:val="24"/>
                <w:szCs w:val="24"/>
              </w:rPr>
              <w:t xml:space="preserve"> hours and will be chaired by a YOS manager. The following is a list of expected regular attendees and it is the responsibility of each attendee to nominate and brief a replacement if they are unable to attend.</w:t>
            </w:r>
          </w:p>
          <w:p w14:paraId="4D6DA79A" w14:textId="77777777" w:rsidR="0082689F" w:rsidRPr="00832F8F" w:rsidRDefault="0082689F" w:rsidP="00C12E6E">
            <w:pPr>
              <w:spacing w:after="0" w:line="36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2"/>
              <w:gridCol w:w="1373"/>
              <w:gridCol w:w="1999"/>
              <w:gridCol w:w="3373"/>
            </w:tblGrid>
            <w:tr w:rsidR="00B23AF3" w:rsidRPr="000B2312" w14:paraId="6DC1A38F" w14:textId="77777777" w:rsidTr="004A26D5">
              <w:tc>
                <w:tcPr>
                  <w:tcW w:w="3372" w:type="dxa"/>
                  <w:shd w:val="clear" w:color="auto" w:fill="auto"/>
                </w:tcPr>
                <w:p w14:paraId="02C3AF58" w14:textId="77777777" w:rsidR="00B23AF3" w:rsidRPr="000B2312" w:rsidRDefault="00B23AF3" w:rsidP="00C12E6E">
                  <w:pPr>
                    <w:pStyle w:val="NoSpacing"/>
                    <w:spacing w:line="360" w:lineRule="auto"/>
                    <w:rPr>
                      <w:b/>
                      <w:sz w:val="24"/>
                      <w:szCs w:val="24"/>
                    </w:rPr>
                  </w:pPr>
                  <w:r w:rsidRPr="000B2312">
                    <w:rPr>
                      <w:b/>
                      <w:sz w:val="24"/>
                      <w:szCs w:val="24"/>
                    </w:rPr>
                    <w:t>JOB TITLE</w:t>
                  </w:r>
                </w:p>
              </w:tc>
              <w:tc>
                <w:tcPr>
                  <w:tcW w:w="3372" w:type="dxa"/>
                  <w:gridSpan w:val="2"/>
                  <w:shd w:val="clear" w:color="auto" w:fill="auto"/>
                </w:tcPr>
                <w:p w14:paraId="282A61C4" w14:textId="77777777" w:rsidR="00B23AF3" w:rsidRPr="000B2312" w:rsidRDefault="00B23AF3" w:rsidP="00C12E6E">
                  <w:pPr>
                    <w:pStyle w:val="NoSpacing"/>
                    <w:spacing w:line="360" w:lineRule="auto"/>
                    <w:rPr>
                      <w:b/>
                      <w:sz w:val="24"/>
                      <w:szCs w:val="24"/>
                    </w:rPr>
                  </w:pPr>
                  <w:r w:rsidRPr="000B2312">
                    <w:rPr>
                      <w:b/>
                      <w:sz w:val="24"/>
                      <w:szCs w:val="24"/>
                    </w:rPr>
                    <w:t>AGENCY</w:t>
                  </w:r>
                </w:p>
              </w:tc>
              <w:tc>
                <w:tcPr>
                  <w:tcW w:w="3373" w:type="dxa"/>
                  <w:shd w:val="clear" w:color="auto" w:fill="auto"/>
                </w:tcPr>
                <w:p w14:paraId="7CF568C7" w14:textId="77777777" w:rsidR="00B23AF3" w:rsidRPr="000B2312" w:rsidRDefault="00B23AF3" w:rsidP="00C12E6E">
                  <w:pPr>
                    <w:pStyle w:val="NoSpacing"/>
                    <w:spacing w:line="360" w:lineRule="auto"/>
                    <w:rPr>
                      <w:b/>
                      <w:sz w:val="24"/>
                      <w:szCs w:val="24"/>
                    </w:rPr>
                  </w:pPr>
                  <w:r w:rsidRPr="000B2312">
                    <w:rPr>
                      <w:b/>
                      <w:sz w:val="24"/>
                      <w:szCs w:val="24"/>
                    </w:rPr>
                    <w:t>ROLE IN PANEL</w:t>
                  </w:r>
                </w:p>
              </w:tc>
            </w:tr>
            <w:tr w:rsidR="00B23AF3" w:rsidRPr="000B2312" w14:paraId="2838BEEC" w14:textId="77777777" w:rsidTr="004A26D5">
              <w:tc>
                <w:tcPr>
                  <w:tcW w:w="3372" w:type="dxa"/>
                  <w:shd w:val="clear" w:color="auto" w:fill="auto"/>
                </w:tcPr>
                <w:p w14:paraId="38AC9C29" w14:textId="77777777" w:rsidR="00B23AF3" w:rsidRPr="000B2312" w:rsidRDefault="00B23AF3" w:rsidP="00C12E6E">
                  <w:pPr>
                    <w:pStyle w:val="NoSpacing"/>
                    <w:spacing w:line="360" w:lineRule="auto"/>
                    <w:rPr>
                      <w:sz w:val="24"/>
                      <w:szCs w:val="24"/>
                    </w:rPr>
                  </w:pPr>
                  <w:r w:rsidRPr="000B2312">
                    <w:rPr>
                      <w:sz w:val="24"/>
                      <w:szCs w:val="24"/>
                    </w:rPr>
                    <w:t>Manager</w:t>
                  </w:r>
                </w:p>
              </w:tc>
              <w:tc>
                <w:tcPr>
                  <w:tcW w:w="3372" w:type="dxa"/>
                  <w:gridSpan w:val="2"/>
                  <w:shd w:val="clear" w:color="auto" w:fill="auto"/>
                </w:tcPr>
                <w:p w14:paraId="50EFAA6F" w14:textId="77777777" w:rsidR="00B23AF3" w:rsidRPr="000B2312" w:rsidRDefault="00B23AF3" w:rsidP="00C12E6E">
                  <w:pPr>
                    <w:pStyle w:val="NoSpacing"/>
                    <w:spacing w:line="360" w:lineRule="auto"/>
                    <w:rPr>
                      <w:sz w:val="24"/>
                      <w:szCs w:val="24"/>
                    </w:rPr>
                  </w:pPr>
                  <w:r w:rsidRPr="000B2312">
                    <w:rPr>
                      <w:sz w:val="24"/>
                      <w:szCs w:val="24"/>
                    </w:rPr>
                    <w:t>YOS</w:t>
                  </w:r>
                </w:p>
              </w:tc>
              <w:tc>
                <w:tcPr>
                  <w:tcW w:w="3373" w:type="dxa"/>
                  <w:shd w:val="clear" w:color="auto" w:fill="auto"/>
                </w:tcPr>
                <w:p w14:paraId="156A407D" w14:textId="77777777" w:rsidR="005A17A6" w:rsidRPr="000B2312" w:rsidRDefault="00B23AF3" w:rsidP="00C12E6E">
                  <w:pPr>
                    <w:pStyle w:val="NoSpacing"/>
                    <w:spacing w:line="360" w:lineRule="auto"/>
                    <w:rPr>
                      <w:sz w:val="24"/>
                      <w:szCs w:val="24"/>
                    </w:rPr>
                  </w:pPr>
                  <w:r w:rsidRPr="000B2312">
                    <w:rPr>
                      <w:sz w:val="24"/>
                      <w:szCs w:val="24"/>
                    </w:rPr>
                    <w:t>Chair</w:t>
                  </w:r>
                </w:p>
              </w:tc>
            </w:tr>
            <w:tr w:rsidR="00B23AF3" w:rsidRPr="000B2312" w14:paraId="410A7F36" w14:textId="77777777" w:rsidTr="004A26D5">
              <w:tc>
                <w:tcPr>
                  <w:tcW w:w="3372" w:type="dxa"/>
                  <w:shd w:val="clear" w:color="auto" w:fill="auto"/>
                </w:tcPr>
                <w:p w14:paraId="24013077" w14:textId="77777777" w:rsidR="00B23AF3" w:rsidRPr="000B2312" w:rsidRDefault="00B23AF3" w:rsidP="00C12E6E">
                  <w:pPr>
                    <w:pStyle w:val="NoSpacing"/>
                    <w:spacing w:line="360" w:lineRule="auto"/>
                    <w:rPr>
                      <w:rFonts w:cs="Calibri"/>
                      <w:sz w:val="24"/>
                      <w:szCs w:val="24"/>
                    </w:rPr>
                  </w:pPr>
                  <w:r w:rsidRPr="000B2312">
                    <w:rPr>
                      <w:rFonts w:cs="Calibri"/>
                      <w:sz w:val="24"/>
                      <w:szCs w:val="24"/>
                    </w:rPr>
                    <w:t>Manager LAC</w:t>
                  </w:r>
                </w:p>
              </w:tc>
              <w:tc>
                <w:tcPr>
                  <w:tcW w:w="3372" w:type="dxa"/>
                  <w:gridSpan w:val="2"/>
                  <w:shd w:val="clear" w:color="auto" w:fill="auto"/>
                </w:tcPr>
                <w:p w14:paraId="5CACF8B4" w14:textId="77777777" w:rsidR="00B23AF3" w:rsidRPr="000B2312" w:rsidRDefault="00B23AF3" w:rsidP="00C12E6E">
                  <w:pPr>
                    <w:pStyle w:val="NoSpacing"/>
                    <w:spacing w:line="360" w:lineRule="auto"/>
                    <w:rPr>
                      <w:rFonts w:cs="Calibri"/>
                      <w:sz w:val="24"/>
                      <w:szCs w:val="24"/>
                    </w:rPr>
                  </w:pPr>
                  <w:r w:rsidRPr="000B2312">
                    <w:rPr>
                      <w:rFonts w:cs="Calibri"/>
                      <w:sz w:val="24"/>
                      <w:szCs w:val="24"/>
                    </w:rPr>
                    <w:t>Children’s Service</w:t>
                  </w:r>
                </w:p>
              </w:tc>
              <w:tc>
                <w:tcPr>
                  <w:tcW w:w="3373" w:type="dxa"/>
                  <w:shd w:val="clear" w:color="auto" w:fill="auto"/>
                </w:tcPr>
                <w:p w14:paraId="72CE096C" w14:textId="77777777" w:rsidR="00FE47D6" w:rsidRDefault="00B23AF3" w:rsidP="00C12E6E">
                  <w:pPr>
                    <w:pStyle w:val="NoSpacing"/>
                    <w:spacing w:line="360" w:lineRule="auto"/>
                    <w:rPr>
                      <w:rFonts w:cs="Calibri"/>
                      <w:sz w:val="24"/>
                      <w:szCs w:val="24"/>
                    </w:rPr>
                  </w:pPr>
                  <w:r w:rsidRPr="000B2312">
                    <w:rPr>
                      <w:rFonts w:cs="Calibri"/>
                      <w:sz w:val="24"/>
                      <w:szCs w:val="24"/>
                    </w:rPr>
                    <w:t>Attendee</w:t>
                  </w:r>
                  <w:r w:rsidR="00FE47D6">
                    <w:rPr>
                      <w:rFonts w:cs="Calibri"/>
                      <w:sz w:val="24"/>
                      <w:szCs w:val="24"/>
                    </w:rPr>
                    <w:t xml:space="preserve"> </w:t>
                  </w:r>
                  <w:r w:rsidRPr="000B2312">
                    <w:rPr>
                      <w:rFonts w:cs="Calibri"/>
                      <w:sz w:val="24"/>
                      <w:szCs w:val="24"/>
                    </w:rPr>
                    <w:t>/</w:t>
                  </w:r>
                  <w:r w:rsidR="00FE47D6">
                    <w:rPr>
                      <w:rFonts w:cs="Calibri"/>
                      <w:sz w:val="24"/>
                      <w:szCs w:val="24"/>
                    </w:rPr>
                    <w:t xml:space="preserve"> </w:t>
                  </w:r>
                  <w:r w:rsidRPr="000B2312">
                    <w:rPr>
                      <w:rFonts w:cs="Calibri"/>
                      <w:sz w:val="24"/>
                      <w:szCs w:val="24"/>
                    </w:rPr>
                    <w:t xml:space="preserve">information </w:t>
                  </w:r>
                </w:p>
                <w:p w14:paraId="654C73FC" w14:textId="77777777" w:rsidR="005A17A6" w:rsidRPr="000B2312" w:rsidRDefault="00B23AF3" w:rsidP="00C12E6E">
                  <w:pPr>
                    <w:pStyle w:val="NoSpacing"/>
                    <w:spacing w:line="360" w:lineRule="auto"/>
                    <w:rPr>
                      <w:rFonts w:cs="Calibri"/>
                      <w:sz w:val="24"/>
                      <w:szCs w:val="24"/>
                    </w:rPr>
                  </w:pPr>
                  <w:r w:rsidRPr="000B2312">
                    <w:rPr>
                      <w:rFonts w:cs="Calibri"/>
                      <w:sz w:val="24"/>
                      <w:szCs w:val="24"/>
                    </w:rPr>
                    <w:t>sharing</w:t>
                  </w:r>
                  <w:r w:rsidR="00FE47D6">
                    <w:rPr>
                      <w:rFonts w:cs="Calibri"/>
                      <w:sz w:val="24"/>
                      <w:szCs w:val="24"/>
                    </w:rPr>
                    <w:t xml:space="preserve"> </w:t>
                  </w:r>
                  <w:r w:rsidRPr="000B2312">
                    <w:rPr>
                      <w:rFonts w:cs="Calibri"/>
                      <w:sz w:val="24"/>
                      <w:szCs w:val="24"/>
                    </w:rPr>
                    <w:t>/</w:t>
                  </w:r>
                  <w:r w:rsidR="00FE47D6">
                    <w:rPr>
                      <w:rFonts w:cs="Calibri"/>
                      <w:sz w:val="24"/>
                      <w:szCs w:val="24"/>
                    </w:rPr>
                    <w:t xml:space="preserve"> </w:t>
                  </w:r>
                  <w:r w:rsidRPr="000B2312">
                    <w:rPr>
                      <w:rFonts w:cs="Calibri"/>
                      <w:sz w:val="24"/>
                      <w:szCs w:val="24"/>
                    </w:rPr>
                    <w:t>decision making</w:t>
                  </w:r>
                </w:p>
              </w:tc>
            </w:tr>
            <w:tr w:rsidR="00B23AF3" w:rsidRPr="000B2312" w14:paraId="52FF2929" w14:textId="77777777" w:rsidTr="004A26D5">
              <w:tc>
                <w:tcPr>
                  <w:tcW w:w="3372" w:type="dxa"/>
                  <w:shd w:val="clear" w:color="auto" w:fill="auto"/>
                </w:tcPr>
                <w:p w14:paraId="4ABF0D56" w14:textId="77777777" w:rsidR="00B23AF3" w:rsidRPr="000B2312" w:rsidRDefault="00B23AF3" w:rsidP="00C12E6E">
                  <w:pPr>
                    <w:pStyle w:val="NoSpacing"/>
                    <w:spacing w:line="360" w:lineRule="auto"/>
                    <w:rPr>
                      <w:rFonts w:cs="Calibri"/>
                      <w:sz w:val="24"/>
                      <w:szCs w:val="24"/>
                    </w:rPr>
                  </w:pPr>
                  <w:r w:rsidRPr="000B2312">
                    <w:rPr>
                      <w:rFonts w:cs="Calibri"/>
                      <w:sz w:val="24"/>
                      <w:szCs w:val="24"/>
                    </w:rPr>
                    <w:t>Manager MASH</w:t>
                  </w:r>
                </w:p>
              </w:tc>
              <w:tc>
                <w:tcPr>
                  <w:tcW w:w="3372" w:type="dxa"/>
                  <w:gridSpan w:val="2"/>
                  <w:shd w:val="clear" w:color="auto" w:fill="auto"/>
                </w:tcPr>
                <w:p w14:paraId="1E6F8A77" w14:textId="77777777" w:rsidR="00B23AF3" w:rsidRPr="000B2312" w:rsidRDefault="00B23AF3" w:rsidP="00C12E6E">
                  <w:pPr>
                    <w:pStyle w:val="NoSpacing"/>
                    <w:spacing w:line="360" w:lineRule="auto"/>
                    <w:rPr>
                      <w:rFonts w:cs="Calibri"/>
                      <w:sz w:val="24"/>
                      <w:szCs w:val="24"/>
                    </w:rPr>
                  </w:pPr>
                  <w:r w:rsidRPr="000B2312">
                    <w:rPr>
                      <w:rFonts w:cs="Calibri"/>
                      <w:sz w:val="24"/>
                      <w:szCs w:val="24"/>
                    </w:rPr>
                    <w:t>Children’s Service</w:t>
                  </w:r>
                </w:p>
              </w:tc>
              <w:tc>
                <w:tcPr>
                  <w:tcW w:w="3373" w:type="dxa"/>
                  <w:shd w:val="clear" w:color="auto" w:fill="auto"/>
                </w:tcPr>
                <w:p w14:paraId="381FB220" w14:textId="77777777" w:rsidR="00FE47D6" w:rsidRDefault="00B23AF3" w:rsidP="00C12E6E">
                  <w:pPr>
                    <w:pStyle w:val="NoSpacing"/>
                    <w:spacing w:line="360" w:lineRule="auto"/>
                    <w:rPr>
                      <w:rFonts w:cs="Calibri"/>
                      <w:sz w:val="24"/>
                      <w:szCs w:val="24"/>
                    </w:rPr>
                  </w:pPr>
                  <w:r w:rsidRPr="000B2312">
                    <w:rPr>
                      <w:rFonts w:cs="Calibri"/>
                      <w:sz w:val="24"/>
                      <w:szCs w:val="24"/>
                    </w:rPr>
                    <w:t>Attendee</w:t>
                  </w:r>
                  <w:r w:rsidR="00FE47D6">
                    <w:rPr>
                      <w:rFonts w:cs="Calibri"/>
                      <w:sz w:val="24"/>
                      <w:szCs w:val="24"/>
                    </w:rPr>
                    <w:t xml:space="preserve"> </w:t>
                  </w:r>
                  <w:r w:rsidRPr="000B2312">
                    <w:rPr>
                      <w:rFonts w:cs="Calibri"/>
                      <w:sz w:val="24"/>
                      <w:szCs w:val="24"/>
                    </w:rPr>
                    <w:t>/</w:t>
                  </w:r>
                  <w:r w:rsidR="00FE47D6">
                    <w:rPr>
                      <w:rFonts w:cs="Calibri"/>
                      <w:sz w:val="24"/>
                      <w:szCs w:val="24"/>
                    </w:rPr>
                    <w:t xml:space="preserve"> </w:t>
                  </w:r>
                  <w:r w:rsidRPr="000B2312">
                    <w:rPr>
                      <w:rFonts w:cs="Calibri"/>
                      <w:sz w:val="24"/>
                      <w:szCs w:val="24"/>
                    </w:rPr>
                    <w:t xml:space="preserve">information </w:t>
                  </w:r>
                </w:p>
                <w:p w14:paraId="330146A0" w14:textId="77777777" w:rsidR="005A17A6" w:rsidRPr="000B2312" w:rsidRDefault="00B23AF3" w:rsidP="00C12E6E">
                  <w:pPr>
                    <w:pStyle w:val="NoSpacing"/>
                    <w:spacing w:line="360" w:lineRule="auto"/>
                    <w:rPr>
                      <w:rFonts w:cs="Calibri"/>
                      <w:sz w:val="24"/>
                      <w:szCs w:val="24"/>
                    </w:rPr>
                  </w:pPr>
                  <w:r w:rsidRPr="000B2312">
                    <w:rPr>
                      <w:rFonts w:cs="Calibri"/>
                      <w:sz w:val="24"/>
                      <w:szCs w:val="24"/>
                    </w:rPr>
                    <w:t>sharing</w:t>
                  </w:r>
                  <w:r w:rsidR="00FE47D6">
                    <w:rPr>
                      <w:rFonts w:cs="Calibri"/>
                      <w:sz w:val="24"/>
                      <w:szCs w:val="24"/>
                    </w:rPr>
                    <w:t xml:space="preserve"> </w:t>
                  </w:r>
                  <w:r w:rsidRPr="000B2312">
                    <w:rPr>
                      <w:rFonts w:cs="Calibri"/>
                      <w:sz w:val="24"/>
                      <w:szCs w:val="24"/>
                    </w:rPr>
                    <w:t>/</w:t>
                  </w:r>
                  <w:r w:rsidR="00FE47D6">
                    <w:rPr>
                      <w:rFonts w:cs="Calibri"/>
                      <w:sz w:val="24"/>
                      <w:szCs w:val="24"/>
                    </w:rPr>
                    <w:t xml:space="preserve"> </w:t>
                  </w:r>
                  <w:r w:rsidRPr="000B2312">
                    <w:rPr>
                      <w:rFonts w:cs="Calibri"/>
                      <w:sz w:val="24"/>
                      <w:szCs w:val="24"/>
                    </w:rPr>
                    <w:t>decision making</w:t>
                  </w:r>
                </w:p>
              </w:tc>
            </w:tr>
            <w:tr w:rsidR="00B23AF3" w:rsidRPr="000B2312" w14:paraId="18C6E8A5" w14:textId="77777777" w:rsidTr="004A26D5">
              <w:tc>
                <w:tcPr>
                  <w:tcW w:w="3372" w:type="dxa"/>
                  <w:shd w:val="clear" w:color="auto" w:fill="auto"/>
                </w:tcPr>
                <w:p w14:paraId="21DAFD36" w14:textId="77777777" w:rsidR="00B23AF3" w:rsidRPr="000B2312" w:rsidRDefault="00B23AF3" w:rsidP="00C12E6E">
                  <w:pPr>
                    <w:pStyle w:val="NoSpacing"/>
                    <w:spacing w:line="360" w:lineRule="auto"/>
                    <w:rPr>
                      <w:rFonts w:cs="Calibri"/>
                      <w:sz w:val="24"/>
                      <w:szCs w:val="24"/>
                    </w:rPr>
                  </w:pPr>
                  <w:r w:rsidRPr="000B2312">
                    <w:rPr>
                      <w:rFonts w:cs="Calibri"/>
                      <w:sz w:val="24"/>
                      <w:szCs w:val="24"/>
                    </w:rPr>
                    <w:t>External Police including Gangs Unit and YOS police</w:t>
                  </w:r>
                </w:p>
              </w:tc>
              <w:tc>
                <w:tcPr>
                  <w:tcW w:w="3372" w:type="dxa"/>
                  <w:gridSpan w:val="2"/>
                  <w:shd w:val="clear" w:color="auto" w:fill="auto"/>
                </w:tcPr>
                <w:p w14:paraId="6930C8FF" w14:textId="77777777" w:rsidR="00B23AF3" w:rsidRPr="000B2312" w:rsidRDefault="00B23AF3" w:rsidP="00C12E6E">
                  <w:pPr>
                    <w:pStyle w:val="NoSpacing"/>
                    <w:spacing w:line="360" w:lineRule="auto"/>
                    <w:rPr>
                      <w:rFonts w:cs="Calibri"/>
                      <w:sz w:val="24"/>
                      <w:szCs w:val="24"/>
                    </w:rPr>
                  </w:pPr>
                  <w:r w:rsidRPr="000B2312">
                    <w:rPr>
                      <w:rFonts w:cs="Calibri"/>
                      <w:sz w:val="24"/>
                      <w:szCs w:val="24"/>
                    </w:rPr>
                    <w:t>Police</w:t>
                  </w:r>
                </w:p>
              </w:tc>
              <w:tc>
                <w:tcPr>
                  <w:tcW w:w="3373" w:type="dxa"/>
                  <w:shd w:val="clear" w:color="auto" w:fill="auto"/>
                </w:tcPr>
                <w:p w14:paraId="0F9BCA50" w14:textId="77777777" w:rsidR="00FE47D6" w:rsidRDefault="00B23AF3" w:rsidP="00C12E6E">
                  <w:pPr>
                    <w:pStyle w:val="NoSpacing"/>
                    <w:spacing w:line="360" w:lineRule="auto"/>
                    <w:rPr>
                      <w:rFonts w:cs="Calibri"/>
                      <w:sz w:val="24"/>
                      <w:szCs w:val="24"/>
                    </w:rPr>
                  </w:pPr>
                  <w:r w:rsidRPr="000B2312">
                    <w:rPr>
                      <w:rFonts w:cs="Calibri"/>
                      <w:sz w:val="24"/>
                      <w:szCs w:val="24"/>
                    </w:rPr>
                    <w:t>Attendee</w:t>
                  </w:r>
                  <w:r w:rsidR="00FE47D6">
                    <w:rPr>
                      <w:rFonts w:cs="Calibri"/>
                      <w:sz w:val="24"/>
                      <w:szCs w:val="24"/>
                    </w:rPr>
                    <w:t xml:space="preserve"> </w:t>
                  </w:r>
                  <w:r w:rsidRPr="000B2312">
                    <w:rPr>
                      <w:rFonts w:cs="Calibri"/>
                      <w:sz w:val="24"/>
                      <w:szCs w:val="24"/>
                    </w:rPr>
                    <w:t>/</w:t>
                  </w:r>
                  <w:r w:rsidR="00FE47D6">
                    <w:rPr>
                      <w:rFonts w:cs="Calibri"/>
                      <w:sz w:val="24"/>
                      <w:szCs w:val="24"/>
                    </w:rPr>
                    <w:t xml:space="preserve"> </w:t>
                  </w:r>
                  <w:r w:rsidRPr="000B2312">
                    <w:rPr>
                      <w:rFonts w:cs="Calibri"/>
                      <w:sz w:val="24"/>
                      <w:szCs w:val="24"/>
                    </w:rPr>
                    <w:t xml:space="preserve">information </w:t>
                  </w:r>
                </w:p>
                <w:p w14:paraId="66AD1336" w14:textId="77777777" w:rsidR="005A17A6" w:rsidRPr="000B2312" w:rsidRDefault="00B23AF3" w:rsidP="00C12E6E">
                  <w:pPr>
                    <w:pStyle w:val="NoSpacing"/>
                    <w:spacing w:line="360" w:lineRule="auto"/>
                    <w:rPr>
                      <w:rFonts w:cs="Calibri"/>
                      <w:sz w:val="24"/>
                      <w:szCs w:val="24"/>
                    </w:rPr>
                  </w:pPr>
                  <w:r w:rsidRPr="000B2312">
                    <w:rPr>
                      <w:rFonts w:cs="Calibri"/>
                      <w:sz w:val="24"/>
                      <w:szCs w:val="24"/>
                    </w:rPr>
                    <w:t>sharing</w:t>
                  </w:r>
                  <w:r w:rsidR="00FE47D6">
                    <w:rPr>
                      <w:rFonts w:cs="Calibri"/>
                      <w:sz w:val="24"/>
                      <w:szCs w:val="24"/>
                    </w:rPr>
                    <w:t xml:space="preserve"> </w:t>
                  </w:r>
                  <w:r w:rsidRPr="000B2312">
                    <w:rPr>
                      <w:rFonts w:cs="Calibri"/>
                      <w:sz w:val="24"/>
                      <w:szCs w:val="24"/>
                    </w:rPr>
                    <w:t>/</w:t>
                  </w:r>
                  <w:r w:rsidR="00FE47D6">
                    <w:rPr>
                      <w:rFonts w:cs="Calibri"/>
                      <w:sz w:val="24"/>
                      <w:szCs w:val="24"/>
                    </w:rPr>
                    <w:t xml:space="preserve"> </w:t>
                  </w:r>
                  <w:r w:rsidRPr="000B2312">
                    <w:rPr>
                      <w:rFonts w:cs="Calibri"/>
                      <w:sz w:val="24"/>
                      <w:szCs w:val="24"/>
                    </w:rPr>
                    <w:t>decision making</w:t>
                  </w:r>
                </w:p>
              </w:tc>
            </w:tr>
            <w:tr w:rsidR="00B23AF3" w:rsidRPr="000B2312" w14:paraId="3F36B91D" w14:textId="77777777" w:rsidTr="004A26D5">
              <w:tc>
                <w:tcPr>
                  <w:tcW w:w="3372" w:type="dxa"/>
                  <w:shd w:val="clear" w:color="auto" w:fill="auto"/>
                </w:tcPr>
                <w:p w14:paraId="21D7B63E" w14:textId="77777777" w:rsidR="00B23AF3" w:rsidRPr="000B2312" w:rsidRDefault="00B23AF3" w:rsidP="00C12E6E">
                  <w:pPr>
                    <w:pStyle w:val="NoSpacing"/>
                    <w:spacing w:line="360" w:lineRule="auto"/>
                    <w:rPr>
                      <w:rFonts w:cs="Calibri"/>
                      <w:sz w:val="24"/>
                      <w:szCs w:val="24"/>
                    </w:rPr>
                  </w:pPr>
                  <w:r w:rsidRPr="000B2312">
                    <w:rPr>
                      <w:rFonts w:cs="Calibri"/>
                      <w:sz w:val="24"/>
                      <w:szCs w:val="24"/>
                    </w:rPr>
                    <w:t>Manager/worker</w:t>
                  </w:r>
                </w:p>
              </w:tc>
              <w:tc>
                <w:tcPr>
                  <w:tcW w:w="3372" w:type="dxa"/>
                  <w:gridSpan w:val="2"/>
                  <w:shd w:val="clear" w:color="auto" w:fill="auto"/>
                </w:tcPr>
                <w:p w14:paraId="6B773A1E" w14:textId="77777777" w:rsidR="00B23AF3" w:rsidRPr="000B2312" w:rsidRDefault="00B23AF3" w:rsidP="00C12E6E">
                  <w:pPr>
                    <w:pStyle w:val="NoSpacing"/>
                    <w:spacing w:line="360" w:lineRule="auto"/>
                    <w:rPr>
                      <w:rFonts w:cs="Calibri"/>
                      <w:sz w:val="24"/>
                      <w:szCs w:val="24"/>
                    </w:rPr>
                  </w:pPr>
                  <w:r w:rsidRPr="000B2312">
                    <w:rPr>
                      <w:rFonts w:cs="Calibri"/>
                      <w:sz w:val="24"/>
                      <w:szCs w:val="24"/>
                    </w:rPr>
                    <w:t>CAMHS</w:t>
                  </w:r>
                </w:p>
              </w:tc>
              <w:tc>
                <w:tcPr>
                  <w:tcW w:w="3373" w:type="dxa"/>
                  <w:shd w:val="clear" w:color="auto" w:fill="auto"/>
                </w:tcPr>
                <w:p w14:paraId="57FD89AF" w14:textId="77777777" w:rsidR="00FE47D6" w:rsidRDefault="00B23AF3" w:rsidP="00C12E6E">
                  <w:pPr>
                    <w:pStyle w:val="NoSpacing"/>
                    <w:spacing w:line="360" w:lineRule="auto"/>
                    <w:rPr>
                      <w:rFonts w:cs="Calibri"/>
                      <w:sz w:val="24"/>
                      <w:szCs w:val="24"/>
                    </w:rPr>
                  </w:pPr>
                  <w:r w:rsidRPr="000B2312">
                    <w:rPr>
                      <w:rFonts w:cs="Calibri"/>
                      <w:sz w:val="24"/>
                      <w:szCs w:val="24"/>
                    </w:rPr>
                    <w:t>Attendee</w:t>
                  </w:r>
                  <w:r w:rsidR="00FE47D6">
                    <w:rPr>
                      <w:rFonts w:cs="Calibri"/>
                      <w:sz w:val="24"/>
                      <w:szCs w:val="24"/>
                    </w:rPr>
                    <w:t xml:space="preserve"> </w:t>
                  </w:r>
                  <w:r w:rsidRPr="000B2312">
                    <w:rPr>
                      <w:rFonts w:cs="Calibri"/>
                      <w:sz w:val="24"/>
                      <w:szCs w:val="24"/>
                    </w:rPr>
                    <w:t>/</w:t>
                  </w:r>
                  <w:r w:rsidR="00FE47D6">
                    <w:rPr>
                      <w:rFonts w:cs="Calibri"/>
                      <w:sz w:val="24"/>
                      <w:szCs w:val="24"/>
                    </w:rPr>
                    <w:t xml:space="preserve"> </w:t>
                  </w:r>
                  <w:r w:rsidRPr="000B2312">
                    <w:rPr>
                      <w:rFonts w:cs="Calibri"/>
                      <w:sz w:val="24"/>
                      <w:szCs w:val="24"/>
                    </w:rPr>
                    <w:t xml:space="preserve">information </w:t>
                  </w:r>
                </w:p>
                <w:p w14:paraId="3497D0EC" w14:textId="77777777" w:rsidR="005A17A6" w:rsidRPr="000B2312" w:rsidRDefault="00B23AF3" w:rsidP="00C12E6E">
                  <w:pPr>
                    <w:pStyle w:val="NoSpacing"/>
                    <w:spacing w:line="360" w:lineRule="auto"/>
                    <w:rPr>
                      <w:rFonts w:cs="Calibri"/>
                      <w:sz w:val="24"/>
                      <w:szCs w:val="24"/>
                    </w:rPr>
                  </w:pPr>
                  <w:r w:rsidRPr="000B2312">
                    <w:rPr>
                      <w:rFonts w:cs="Calibri"/>
                      <w:sz w:val="24"/>
                      <w:szCs w:val="24"/>
                    </w:rPr>
                    <w:t>sharing</w:t>
                  </w:r>
                  <w:r w:rsidR="00FE47D6">
                    <w:rPr>
                      <w:rFonts w:cs="Calibri"/>
                      <w:sz w:val="24"/>
                      <w:szCs w:val="24"/>
                    </w:rPr>
                    <w:t xml:space="preserve"> </w:t>
                  </w:r>
                  <w:r w:rsidRPr="000B2312">
                    <w:rPr>
                      <w:rFonts w:cs="Calibri"/>
                      <w:sz w:val="24"/>
                      <w:szCs w:val="24"/>
                    </w:rPr>
                    <w:t>/</w:t>
                  </w:r>
                  <w:r w:rsidR="00FE47D6">
                    <w:rPr>
                      <w:rFonts w:cs="Calibri"/>
                      <w:sz w:val="24"/>
                      <w:szCs w:val="24"/>
                    </w:rPr>
                    <w:t xml:space="preserve"> </w:t>
                  </w:r>
                  <w:r w:rsidRPr="000B2312">
                    <w:rPr>
                      <w:rFonts w:cs="Calibri"/>
                      <w:sz w:val="24"/>
                      <w:szCs w:val="24"/>
                    </w:rPr>
                    <w:t>decision making</w:t>
                  </w:r>
                </w:p>
              </w:tc>
            </w:tr>
            <w:tr w:rsidR="00B23AF3" w:rsidRPr="000B2312" w14:paraId="4AF7047E" w14:textId="77777777" w:rsidTr="004A26D5">
              <w:tc>
                <w:tcPr>
                  <w:tcW w:w="3372" w:type="dxa"/>
                  <w:shd w:val="clear" w:color="auto" w:fill="auto"/>
                </w:tcPr>
                <w:p w14:paraId="31685D09" w14:textId="77777777" w:rsidR="00B23AF3" w:rsidRPr="000B2312" w:rsidRDefault="00B23AF3" w:rsidP="00C12E6E">
                  <w:pPr>
                    <w:pStyle w:val="NoSpacing"/>
                    <w:spacing w:line="360" w:lineRule="auto"/>
                    <w:rPr>
                      <w:rFonts w:cs="Calibri"/>
                      <w:sz w:val="24"/>
                      <w:szCs w:val="24"/>
                    </w:rPr>
                  </w:pPr>
                  <w:r w:rsidRPr="000B2312">
                    <w:rPr>
                      <w:rFonts w:cs="Calibri"/>
                      <w:sz w:val="24"/>
                      <w:szCs w:val="24"/>
                    </w:rPr>
                    <w:t>HRP Support Officer</w:t>
                  </w:r>
                </w:p>
              </w:tc>
              <w:tc>
                <w:tcPr>
                  <w:tcW w:w="3372" w:type="dxa"/>
                  <w:gridSpan w:val="2"/>
                  <w:shd w:val="clear" w:color="auto" w:fill="auto"/>
                </w:tcPr>
                <w:p w14:paraId="0BC5F166" w14:textId="77777777" w:rsidR="00B23AF3" w:rsidRPr="000B2312" w:rsidRDefault="00B23AF3" w:rsidP="00C12E6E">
                  <w:pPr>
                    <w:pStyle w:val="NoSpacing"/>
                    <w:spacing w:line="360" w:lineRule="auto"/>
                    <w:rPr>
                      <w:rFonts w:cs="Calibri"/>
                      <w:sz w:val="24"/>
                      <w:szCs w:val="24"/>
                    </w:rPr>
                  </w:pPr>
                  <w:r w:rsidRPr="000B2312">
                    <w:rPr>
                      <w:rFonts w:cs="Calibri"/>
                      <w:sz w:val="24"/>
                      <w:szCs w:val="24"/>
                    </w:rPr>
                    <w:t>YOS</w:t>
                  </w:r>
                </w:p>
              </w:tc>
              <w:tc>
                <w:tcPr>
                  <w:tcW w:w="3373" w:type="dxa"/>
                  <w:shd w:val="clear" w:color="auto" w:fill="auto"/>
                </w:tcPr>
                <w:p w14:paraId="43CA8256" w14:textId="77777777" w:rsidR="005A17A6" w:rsidRPr="000B2312" w:rsidRDefault="00B23AF3" w:rsidP="00C12E6E">
                  <w:pPr>
                    <w:pStyle w:val="NoSpacing"/>
                    <w:spacing w:line="360" w:lineRule="auto"/>
                    <w:rPr>
                      <w:rFonts w:cs="Calibri"/>
                      <w:sz w:val="24"/>
                      <w:szCs w:val="24"/>
                    </w:rPr>
                  </w:pPr>
                  <w:r w:rsidRPr="000B2312">
                    <w:rPr>
                      <w:rFonts w:cs="Calibri"/>
                      <w:sz w:val="24"/>
                      <w:szCs w:val="24"/>
                    </w:rPr>
                    <w:t xml:space="preserve">Recording information, risks, decision making </w:t>
                  </w:r>
                </w:p>
              </w:tc>
            </w:tr>
            <w:tr w:rsidR="00B23AF3" w:rsidRPr="000B2312" w14:paraId="2EB38B4F" w14:textId="77777777" w:rsidTr="00D61C08">
              <w:tc>
                <w:tcPr>
                  <w:tcW w:w="4745" w:type="dxa"/>
                  <w:gridSpan w:val="2"/>
                  <w:shd w:val="clear" w:color="auto" w:fill="auto"/>
                </w:tcPr>
                <w:p w14:paraId="01743B28" w14:textId="77777777" w:rsidR="001B5776" w:rsidRPr="00D61C08" w:rsidRDefault="00B23AF3" w:rsidP="00C12E6E">
                  <w:pPr>
                    <w:pStyle w:val="NoSpacing"/>
                    <w:spacing w:line="360" w:lineRule="auto"/>
                    <w:rPr>
                      <w:b/>
                      <w:sz w:val="24"/>
                      <w:szCs w:val="24"/>
                    </w:rPr>
                  </w:pPr>
                  <w:r w:rsidRPr="000B2312">
                    <w:rPr>
                      <w:b/>
                      <w:sz w:val="24"/>
                      <w:szCs w:val="24"/>
                    </w:rPr>
                    <w:t>YOS Attendees as necessary</w:t>
                  </w:r>
                </w:p>
              </w:tc>
              <w:tc>
                <w:tcPr>
                  <w:tcW w:w="5372" w:type="dxa"/>
                  <w:gridSpan w:val="2"/>
                  <w:shd w:val="clear" w:color="auto" w:fill="auto"/>
                </w:tcPr>
                <w:p w14:paraId="630E17CA" w14:textId="77777777" w:rsidR="00B23AF3" w:rsidRPr="000B2312" w:rsidRDefault="00B23AF3" w:rsidP="00C12E6E">
                  <w:pPr>
                    <w:spacing w:after="0" w:line="360" w:lineRule="auto"/>
                    <w:jc w:val="both"/>
                    <w:rPr>
                      <w:rFonts w:cs="Calibri"/>
                      <w:sz w:val="24"/>
                      <w:szCs w:val="24"/>
                    </w:rPr>
                  </w:pPr>
                </w:p>
              </w:tc>
            </w:tr>
            <w:tr w:rsidR="00B23AF3" w:rsidRPr="000B2312" w14:paraId="3832DE37" w14:textId="77777777" w:rsidTr="00D61C08">
              <w:tc>
                <w:tcPr>
                  <w:tcW w:w="4745" w:type="dxa"/>
                  <w:gridSpan w:val="2"/>
                  <w:shd w:val="clear" w:color="auto" w:fill="auto"/>
                </w:tcPr>
                <w:p w14:paraId="38F41C5B" w14:textId="77777777" w:rsidR="00B23AF3" w:rsidRPr="000B2312" w:rsidRDefault="00B23AF3" w:rsidP="00C12E6E">
                  <w:pPr>
                    <w:pStyle w:val="NoSpacing"/>
                    <w:numPr>
                      <w:ilvl w:val="0"/>
                      <w:numId w:val="32"/>
                    </w:numPr>
                    <w:spacing w:line="360" w:lineRule="auto"/>
                    <w:rPr>
                      <w:sz w:val="24"/>
                      <w:szCs w:val="24"/>
                    </w:rPr>
                  </w:pPr>
                  <w:r w:rsidRPr="000B2312">
                    <w:rPr>
                      <w:sz w:val="24"/>
                      <w:szCs w:val="24"/>
                    </w:rPr>
                    <w:t>Case Manager</w:t>
                  </w:r>
                </w:p>
              </w:tc>
              <w:tc>
                <w:tcPr>
                  <w:tcW w:w="5372" w:type="dxa"/>
                  <w:gridSpan w:val="2"/>
                  <w:shd w:val="clear" w:color="auto" w:fill="auto"/>
                </w:tcPr>
                <w:p w14:paraId="07F0B3EA" w14:textId="77777777" w:rsidR="005A17A6" w:rsidRPr="000B2312" w:rsidRDefault="00B23AF3" w:rsidP="00C12E6E">
                  <w:pPr>
                    <w:pStyle w:val="NoSpacing"/>
                    <w:numPr>
                      <w:ilvl w:val="0"/>
                      <w:numId w:val="32"/>
                    </w:numPr>
                    <w:spacing w:line="360" w:lineRule="auto"/>
                    <w:rPr>
                      <w:sz w:val="24"/>
                      <w:szCs w:val="24"/>
                    </w:rPr>
                  </w:pPr>
                  <w:r w:rsidRPr="000B2312">
                    <w:rPr>
                      <w:sz w:val="24"/>
                      <w:szCs w:val="24"/>
                    </w:rPr>
                    <w:t>Team manager in absence of case manager</w:t>
                  </w:r>
                </w:p>
              </w:tc>
            </w:tr>
            <w:tr w:rsidR="00B23AF3" w:rsidRPr="000B2312" w14:paraId="5DDE67B6" w14:textId="77777777" w:rsidTr="00D61C08">
              <w:tc>
                <w:tcPr>
                  <w:tcW w:w="4745" w:type="dxa"/>
                  <w:gridSpan w:val="2"/>
                  <w:shd w:val="clear" w:color="auto" w:fill="auto"/>
                </w:tcPr>
                <w:p w14:paraId="1283C564" w14:textId="77777777" w:rsidR="00B23AF3" w:rsidRPr="000B2312" w:rsidRDefault="00B23AF3" w:rsidP="00C12E6E">
                  <w:pPr>
                    <w:pStyle w:val="NoSpacing"/>
                    <w:numPr>
                      <w:ilvl w:val="0"/>
                      <w:numId w:val="32"/>
                    </w:numPr>
                    <w:spacing w:line="360" w:lineRule="auto"/>
                    <w:rPr>
                      <w:sz w:val="24"/>
                      <w:szCs w:val="24"/>
                    </w:rPr>
                  </w:pPr>
                  <w:r w:rsidRPr="000B2312">
                    <w:rPr>
                      <w:sz w:val="24"/>
                      <w:szCs w:val="24"/>
                    </w:rPr>
                    <w:t>ETE worker</w:t>
                  </w:r>
                </w:p>
              </w:tc>
              <w:tc>
                <w:tcPr>
                  <w:tcW w:w="5372" w:type="dxa"/>
                  <w:gridSpan w:val="2"/>
                  <w:shd w:val="clear" w:color="auto" w:fill="auto"/>
                </w:tcPr>
                <w:p w14:paraId="643845E6" w14:textId="77777777" w:rsidR="005A17A6" w:rsidRPr="000B2312" w:rsidRDefault="00B23AF3" w:rsidP="00C12E6E">
                  <w:pPr>
                    <w:pStyle w:val="NoSpacing"/>
                    <w:numPr>
                      <w:ilvl w:val="0"/>
                      <w:numId w:val="32"/>
                    </w:numPr>
                    <w:spacing w:line="360" w:lineRule="auto"/>
                    <w:rPr>
                      <w:sz w:val="24"/>
                      <w:szCs w:val="24"/>
                    </w:rPr>
                  </w:pPr>
                  <w:r w:rsidRPr="000B2312">
                    <w:rPr>
                      <w:sz w:val="24"/>
                      <w:szCs w:val="24"/>
                    </w:rPr>
                    <w:t>Seconded Probation Officer</w:t>
                  </w:r>
                </w:p>
              </w:tc>
            </w:tr>
            <w:tr w:rsidR="00B23AF3" w:rsidRPr="000B2312" w14:paraId="27CD4DF9" w14:textId="77777777" w:rsidTr="00D61C08">
              <w:tc>
                <w:tcPr>
                  <w:tcW w:w="4745" w:type="dxa"/>
                  <w:gridSpan w:val="2"/>
                  <w:shd w:val="clear" w:color="auto" w:fill="auto"/>
                </w:tcPr>
                <w:p w14:paraId="383DA52F" w14:textId="77777777" w:rsidR="00B23AF3" w:rsidRPr="000B2312" w:rsidRDefault="00B23AF3" w:rsidP="00C12E6E">
                  <w:pPr>
                    <w:pStyle w:val="NoSpacing"/>
                    <w:numPr>
                      <w:ilvl w:val="0"/>
                      <w:numId w:val="32"/>
                    </w:numPr>
                    <w:spacing w:line="360" w:lineRule="auto"/>
                    <w:rPr>
                      <w:sz w:val="24"/>
                      <w:szCs w:val="24"/>
                    </w:rPr>
                  </w:pPr>
                  <w:r w:rsidRPr="000B2312">
                    <w:rPr>
                      <w:sz w:val="24"/>
                      <w:szCs w:val="24"/>
                    </w:rPr>
                    <w:t>Substance misuse worker</w:t>
                  </w:r>
                </w:p>
              </w:tc>
              <w:tc>
                <w:tcPr>
                  <w:tcW w:w="5372" w:type="dxa"/>
                  <w:gridSpan w:val="2"/>
                  <w:shd w:val="clear" w:color="auto" w:fill="auto"/>
                </w:tcPr>
                <w:p w14:paraId="2FF6BD6A" w14:textId="77777777" w:rsidR="005A17A6" w:rsidRPr="000B2312" w:rsidRDefault="00B23AF3" w:rsidP="00C12E6E">
                  <w:pPr>
                    <w:pStyle w:val="NoSpacing"/>
                    <w:numPr>
                      <w:ilvl w:val="0"/>
                      <w:numId w:val="32"/>
                    </w:numPr>
                    <w:spacing w:line="360" w:lineRule="auto"/>
                    <w:rPr>
                      <w:sz w:val="24"/>
                      <w:szCs w:val="24"/>
                    </w:rPr>
                  </w:pPr>
                  <w:r w:rsidRPr="000B2312">
                    <w:rPr>
                      <w:sz w:val="24"/>
                      <w:szCs w:val="24"/>
                    </w:rPr>
                    <w:t>Placement key workers</w:t>
                  </w:r>
                </w:p>
              </w:tc>
            </w:tr>
            <w:tr w:rsidR="00B23AF3" w:rsidRPr="000B2312" w14:paraId="43B6FF13" w14:textId="77777777" w:rsidTr="00D61C08">
              <w:tc>
                <w:tcPr>
                  <w:tcW w:w="4745" w:type="dxa"/>
                  <w:gridSpan w:val="2"/>
                  <w:shd w:val="clear" w:color="auto" w:fill="auto"/>
                </w:tcPr>
                <w:p w14:paraId="0A35015B" w14:textId="77777777" w:rsidR="00B23AF3" w:rsidRPr="000B2312" w:rsidRDefault="00B23AF3" w:rsidP="00C12E6E">
                  <w:pPr>
                    <w:pStyle w:val="NoSpacing"/>
                    <w:numPr>
                      <w:ilvl w:val="0"/>
                      <w:numId w:val="32"/>
                    </w:numPr>
                    <w:spacing w:line="360" w:lineRule="auto"/>
                    <w:rPr>
                      <w:sz w:val="24"/>
                      <w:szCs w:val="24"/>
                    </w:rPr>
                  </w:pPr>
                  <w:r w:rsidRPr="000B2312">
                    <w:rPr>
                      <w:sz w:val="24"/>
                      <w:szCs w:val="24"/>
                    </w:rPr>
                    <w:t>ISS worker</w:t>
                  </w:r>
                </w:p>
              </w:tc>
              <w:tc>
                <w:tcPr>
                  <w:tcW w:w="5372" w:type="dxa"/>
                  <w:gridSpan w:val="2"/>
                  <w:shd w:val="clear" w:color="auto" w:fill="auto"/>
                </w:tcPr>
                <w:p w14:paraId="2E81C6DE" w14:textId="77777777" w:rsidR="005A17A6" w:rsidRPr="000B2312" w:rsidRDefault="00B23AF3" w:rsidP="00C12E6E">
                  <w:pPr>
                    <w:pStyle w:val="NoSpacing"/>
                    <w:numPr>
                      <w:ilvl w:val="0"/>
                      <w:numId w:val="32"/>
                    </w:numPr>
                    <w:spacing w:line="360" w:lineRule="auto"/>
                    <w:rPr>
                      <w:sz w:val="24"/>
                      <w:szCs w:val="24"/>
                    </w:rPr>
                  </w:pPr>
                  <w:r w:rsidRPr="000B2312">
                    <w:rPr>
                      <w:sz w:val="24"/>
                      <w:szCs w:val="24"/>
                    </w:rPr>
                    <w:t>Serious Youth Violence worker</w:t>
                  </w:r>
                </w:p>
              </w:tc>
            </w:tr>
            <w:tr w:rsidR="00B23AF3" w:rsidRPr="000B2312" w14:paraId="032D0DC0" w14:textId="77777777" w:rsidTr="00D61C08">
              <w:tc>
                <w:tcPr>
                  <w:tcW w:w="4745" w:type="dxa"/>
                  <w:gridSpan w:val="2"/>
                  <w:shd w:val="clear" w:color="auto" w:fill="auto"/>
                </w:tcPr>
                <w:p w14:paraId="5E64603B" w14:textId="77777777" w:rsidR="00B23AF3" w:rsidRPr="000B2312" w:rsidRDefault="00B23AF3" w:rsidP="00C12E6E">
                  <w:pPr>
                    <w:pStyle w:val="NoSpacing"/>
                    <w:numPr>
                      <w:ilvl w:val="0"/>
                      <w:numId w:val="32"/>
                    </w:numPr>
                    <w:spacing w:line="360" w:lineRule="auto"/>
                    <w:rPr>
                      <w:sz w:val="24"/>
                      <w:szCs w:val="24"/>
                    </w:rPr>
                  </w:pPr>
                  <w:r w:rsidRPr="000B2312">
                    <w:rPr>
                      <w:sz w:val="24"/>
                      <w:szCs w:val="24"/>
                    </w:rPr>
                    <w:t>Victims Worker</w:t>
                  </w:r>
                </w:p>
              </w:tc>
              <w:tc>
                <w:tcPr>
                  <w:tcW w:w="5372" w:type="dxa"/>
                  <w:gridSpan w:val="2"/>
                  <w:shd w:val="clear" w:color="auto" w:fill="auto"/>
                </w:tcPr>
                <w:p w14:paraId="4BCC9997" w14:textId="77777777" w:rsidR="005A17A6" w:rsidRPr="000B2312" w:rsidRDefault="00B23AF3" w:rsidP="00C12E6E">
                  <w:pPr>
                    <w:pStyle w:val="NoSpacing"/>
                    <w:numPr>
                      <w:ilvl w:val="0"/>
                      <w:numId w:val="32"/>
                    </w:numPr>
                    <w:spacing w:line="360" w:lineRule="auto"/>
                    <w:rPr>
                      <w:sz w:val="24"/>
                      <w:szCs w:val="24"/>
                    </w:rPr>
                  </w:pPr>
                  <w:r w:rsidRPr="000B2312">
                    <w:rPr>
                      <w:sz w:val="24"/>
                      <w:szCs w:val="24"/>
                    </w:rPr>
                    <w:t xml:space="preserve">Emotional/Mental Health </w:t>
                  </w:r>
                </w:p>
              </w:tc>
            </w:tr>
            <w:tr w:rsidR="00B23AF3" w:rsidRPr="000B2312" w14:paraId="0C478BD0" w14:textId="77777777" w:rsidTr="00D61C08">
              <w:tc>
                <w:tcPr>
                  <w:tcW w:w="4745" w:type="dxa"/>
                  <w:gridSpan w:val="2"/>
                  <w:shd w:val="clear" w:color="auto" w:fill="auto"/>
                </w:tcPr>
                <w:p w14:paraId="727534B2" w14:textId="77777777" w:rsidR="00B23AF3" w:rsidRPr="000B2312" w:rsidRDefault="00B23AF3" w:rsidP="00C12E6E">
                  <w:pPr>
                    <w:pStyle w:val="NoSpacing"/>
                    <w:numPr>
                      <w:ilvl w:val="0"/>
                      <w:numId w:val="32"/>
                    </w:numPr>
                    <w:spacing w:line="360" w:lineRule="auto"/>
                    <w:rPr>
                      <w:sz w:val="24"/>
                      <w:szCs w:val="24"/>
                    </w:rPr>
                  </w:pPr>
                  <w:r w:rsidRPr="000B2312">
                    <w:rPr>
                      <w:sz w:val="24"/>
                      <w:szCs w:val="24"/>
                    </w:rPr>
                    <w:t>Social Care</w:t>
                  </w:r>
                </w:p>
              </w:tc>
              <w:tc>
                <w:tcPr>
                  <w:tcW w:w="5372" w:type="dxa"/>
                  <w:gridSpan w:val="2"/>
                  <w:shd w:val="clear" w:color="auto" w:fill="auto"/>
                </w:tcPr>
                <w:p w14:paraId="1573887B" w14:textId="77777777" w:rsidR="005A17A6" w:rsidRPr="000B2312" w:rsidRDefault="00B23AF3" w:rsidP="00C12E6E">
                  <w:pPr>
                    <w:pStyle w:val="NoSpacing"/>
                    <w:numPr>
                      <w:ilvl w:val="0"/>
                      <w:numId w:val="32"/>
                    </w:numPr>
                    <w:spacing w:line="360" w:lineRule="auto"/>
                    <w:rPr>
                      <w:sz w:val="24"/>
                      <w:szCs w:val="24"/>
                    </w:rPr>
                  </w:pPr>
                  <w:r w:rsidRPr="000B2312">
                    <w:rPr>
                      <w:sz w:val="24"/>
                      <w:szCs w:val="24"/>
                    </w:rPr>
                    <w:t>LBE Housing</w:t>
                  </w:r>
                </w:p>
              </w:tc>
            </w:tr>
          </w:tbl>
          <w:p w14:paraId="2FCB55B9" w14:textId="77777777" w:rsidR="00B23AF3" w:rsidRPr="000B2312" w:rsidRDefault="00B23AF3" w:rsidP="00306951">
            <w:pPr>
              <w:spacing w:after="0" w:line="360" w:lineRule="auto"/>
              <w:jc w:val="both"/>
              <w:rPr>
                <w:rFonts w:cs="Calibri"/>
                <w:sz w:val="24"/>
                <w:szCs w:val="24"/>
              </w:rPr>
            </w:pPr>
          </w:p>
          <w:p w14:paraId="26A465A9" w14:textId="77777777" w:rsidR="00B23AF3" w:rsidRPr="000B2312" w:rsidRDefault="00B23AF3" w:rsidP="00306951">
            <w:pPr>
              <w:pStyle w:val="NoSpacing"/>
              <w:spacing w:line="360" w:lineRule="auto"/>
              <w:rPr>
                <w:sz w:val="24"/>
                <w:szCs w:val="24"/>
              </w:rPr>
            </w:pPr>
            <w:r w:rsidRPr="000B2312">
              <w:rPr>
                <w:sz w:val="24"/>
                <w:szCs w:val="24"/>
              </w:rPr>
              <w:t>Other agencies may attend the HRP as appropriate by arrangement to present cases and share information.</w:t>
            </w:r>
          </w:p>
          <w:p w14:paraId="0BDCDADE" w14:textId="77777777" w:rsidR="00B23AF3" w:rsidRPr="000B2312" w:rsidRDefault="00B23AF3" w:rsidP="00306951">
            <w:pPr>
              <w:pStyle w:val="NoSpacing"/>
              <w:spacing w:line="360" w:lineRule="auto"/>
              <w:rPr>
                <w:sz w:val="24"/>
                <w:szCs w:val="24"/>
              </w:rPr>
            </w:pPr>
          </w:p>
          <w:p w14:paraId="32C51B4A" w14:textId="77777777" w:rsidR="00B23AF3" w:rsidRPr="000B2312" w:rsidRDefault="00B23AF3" w:rsidP="00306951">
            <w:pPr>
              <w:pStyle w:val="NoSpacing"/>
              <w:spacing w:line="360" w:lineRule="auto"/>
              <w:rPr>
                <w:b/>
                <w:sz w:val="24"/>
                <w:szCs w:val="24"/>
              </w:rPr>
            </w:pPr>
            <w:r w:rsidRPr="000B2312">
              <w:rPr>
                <w:b/>
                <w:sz w:val="24"/>
                <w:szCs w:val="24"/>
              </w:rPr>
              <w:t>Evaluation</w:t>
            </w:r>
          </w:p>
          <w:p w14:paraId="4EB4B8E7" w14:textId="77777777" w:rsidR="00B23AF3" w:rsidRPr="000B2312" w:rsidRDefault="00B23AF3" w:rsidP="00C12E6E">
            <w:pPr>
              <w:pStyle w:val="NoSpacing"/>
              <w:spacing w:line="360" w:lineRule="auto"/>
              <w:rPr>
                <w:sz w:val="24"/>
                <w:szCs w:val="24"/>
              </w:rPr>
            </w:pPr>
            <w:r w:rsidRPr="000B2312">
              <w:rPr>
                <w:sz w:val="24"/>
                <w:szCs w:val="24"/>
              </w:rPr>
              <w:t>The terms of reference and membership of the HRP will be reviewed annually.</w:t>
            </w:r>
          </w:p>
          <w:p w14:paraId="062659A7" w14:textId="77777777" w:rsidR="00B23AF3" w:rsidRPr="00832F8F" w:rsidRDefault="00B23AF3" w:rsidP="00C12E6E">
            <w:pPr>
              <w:spacing w:after="0" w:line="360" w:lineRule="auto"/>
              <w:jc w:val="both"/>
              <w:rPr>
                <w:rFonts w:cs="Calibri"/>
              </w:rPr>
            </w:pPr>
          </w:p>
        </w:tc>
        <w:tc>
          <w:tcPr>
            <w:tcW w:w="426" w:type="dxa"/>
          </w:tcPr>
          <w:p w14:paraId="084A0615" w14:textId="77777777" w:rsidR="00B23AF3" w:rsidRPr="00832F8F" w:rsidRDefault="00B23AF3" w:rsidP="004A26D5">
            <w:pPr>
              <w:spacing w:after="0" w:line="240" w:lineRule="auto"/>
              <w:jc w:val="both"/>
              <w:rPr>
                <w:rFonts w:cs="Calibri"/>
              </w:rPr>
            </w:pPr>
          </w:p>
        </w:tc>
      </w:tr>
    </w:tbl>
    <w:p w14:paraId="6B7BB527" w14:textId="77777777" w:rsidR="00D61C08" w:rsidRPr="00964577" w:rsidRDefault="00AA3CAF" w:rsidP="00D61C08">
      <w:pPr>
        <w:spacing w:after="200" w:line="360" w:lineRule="auto"/>
        <w:rPr>
          <w:rFonts w:ascii="Calibri" w:eastAsia="Calibri" w:hAnsi="Calibri" w:cs="Calibri"/>
          <w:b/>
          <w:bCs/>
          <w:color w:val="FF0000"/>
          <w:sz w:val="24"/>
          <w:szCs w:val="24"/>
        </w:rPr>
      </w:pPr>
      <w:r w:rsidRPr="00964577">
        <w:rPr>
          <w:rFonts w:ascii="Calibri" w:eastAsia="Calibri" w:hAnsi="Calibri" w:cs="Calibri"/>
          <w:b/>
          <w:bCs/>
          <w:color w:val="FF0000"/>
          <w:sz w:val="24"/>
          <w:szCs w:val="24"/>
        </w:rPr>
        <w:t>A</w:t>
      </w:r>
      <w:r w:rsidR="00D61C08" w:rsidRPr="00964577">
        <w:rPr>
          <w:rFonts w:ascii="Calibri" w:eastAsia="Calibri" w:hAnsi="Calibri" w:cs="Calibri"/>
          <w:b/>
          <w:bCs/>
          <w:color w:val="FF0000"/>
          <w:sz w:val="24"/>
          <w:szCs w:val="24"/>
        </w:rPr>
        <w:t xml:space="preserve">PPENDIX </w:t>
      </w:r>
      <w:r w:rsidRPr="00964577">
        <w:rPr>
          <w:rFonts w:ascii="Calibri" w:eastAsia="Calibri" w:hAnsi="Calibri" w:cs="Calibri"/>
          <w:b/>
          <w:bCs/>
          <w:color w:val="FF0000"/>
          <w:sz w:val="24"/>
          <w:szCs w:val="24"/>
        </w:rPr>
        <w:t>1</w:t>
      </w:r>
    </w:p>
    <w:p w14:paraId="03E186CB" w14:textId="77777777" w:rsidR="00AA3CAF" w:rsidRPr="00D61C08" w:rsidRDefault="00AA3CAF" w:rsidP="00D61C08">
      <w:pPr>
        <w:pStyle w:val="NoSpacing"/>
        <w:spacing w:line="360" w:lineRule="auto"/>
        <w:rPr>
          <w:rFonts w:eastAsia="Times New Roman"/>
          <w:sz w:val="24"/>
          <w:szCs w:val="24"/>
          <w:u w:val="single"/>
        </w:rPr>
      </w:pPr>
      <w:r w:rsidRPr="00D61C08">
        <w:rPr>
          <w:rFonts w:eastAsia="Times New Roman"/>
          <w:sz w:val="24"/>
          <w:szCs w:val="24"/>
          <w:u w:val="single"/>
        </w:rPr>
        <w:t>Risk Definitions</w:t>
      </w:r>
    </w:p>
    <w:p w14:paraId="7DFCC354" w14:textId="77777777" w:rsidR="00AA3CAF" w:rsidRPr="00D61C08" w:rsidRDefault="00AA3CAF" w:rsidP="00D61C08">
      <w:pPr>
        <w:pStyle w:val="NoSpacing"/>
        <w:spacing w:line="360" w:lineRule="auto"/>
        <w:rPr>
          <w:rFonts w:eastAsia="Times New Roman"/>
          <w:sz w:val="24"/>
          <w:szCs w:val="24"/>
        </w:rPr>
      </w:pPr>
    </w:p>
    <w:p w14:paraId="64DE6673" w14:textId="77777777" w:rsidR="00AA3CAF" w:rsidRPr="00D61C08" w:rsidRDefault="00AA3CAF" w:rsidP="00D61C08">
      <w:pPr>
        <w:spacing w:after="0" w:line="360" w:lineRule="auto"/>
        <w:rPr>
          <w:rFonts w:ascii="Calibri" w:eastAsia="Times New Roman" w:hAnsi="Calibri" w:cs="Calibri"/>
          <w:b/>
          <w:sz w:val="24"/>
          <w:szCs w:val="24"/>
        </w:rPr>
      </w:pPr>
      <w:r w:rsidRPr="00D61C08">
        <w:rPr>
          <w:rFonts w:ascii="Calibri" w:eastAsia="Times New Roman" w:hAnsi="Calibri" w:cs="Calibri"/>
          <w:b/>
          <w:sz w:val="24"/>
          <w:szCs w:val="24"/>
        </w:rPr>
        <w:t>Definition of risk:</w:t>
      </w:r>
    </w:p>
    <w:p w14:paraId="430D2A36" w14:textId="77777777" w:rsidR="00D61C08" w:rsidRPr="00D61C08" w:rsidRDefault="00D61C08" w:rsidP="00D61C08">
      <w:pPr>
        <w:spacing w:after="0" w:line="360" w:lineRule="auto"/>
        <w:rPr>
          <w:rFonts w:ascii="Calibri" w:eastAsia="Times New Roman" w:hAnsi="Calibri" w:cs="Calibri"/>
          <w:b/>
          <w:sz w:val="24"/>
          <w:szCs w:val="24"/>
        </w:rPr>
      </w:pPr>
    </w:p>
    <w:p w14:paraId="6B192AB0" w14:textId="77777777" w:rsidR="00AA3CAF" w:rsidRPr="00D61C08" w:rsidRDefault="00AA3CAF" w:rsidP="00D61C08">
      <w:pPr>
        <w:spacing w:after="0" w:line="360" w:lineRule="auto"/>
        <w:ind w:left="142" w:hanging="142"/>
        <w:rPr>
          <w:rFonts w:ascii="Calibri" w:eastAsia="Times New Roman" w:hAnsi="Calibri" w:cs="Calibri"/>
          <w:b/>
          <w:sz w:val="24"/>
          <w:szCs w:val="24"/>
        </w:rPr>
      </w:pPr>
      <w:r w:rsidRPr="00D61C08">
        <w:rPr>
          <w:rFonts w:ascii="Calibri" w:eastAsia="Times New Roman" w:hAnsi="Calibri" w:cs="Calibri"/>
          <w:b/>
          <w:sz w:val="24"/>
          <w:szCs w:val="24"/>
        </w:rPr>
        <w:t>“the probability that an event or behaviour carrying the possibility of an adverse or negative outcome will occur”</w:t>
      </w:r>
    </w:p>
    <w:p w14:paraId="3F87904F" w14:textId="77777777" w:rsidR="00AA3CAF" w:rsidRPr="00D61C08" w:rsidRDefault="00AA3CAF" w:rsidP="00D61C08">
      <w:pPr>
        <w:spacing w:after="0" w:line="360" w:lineRule="auto"/>
        <w:rPr>
          <w:rFonts w:ascii="Calibri" w:eastAsia="Times New Roman" w:hAnsi="Calibri" w:cs="Calibri"/>
          <w:b/>
          <w:sz w:val="24"/>
          <w:szCs w:val="24"/>
        </w:rPr>
      </w:pPr>
      <w:r w:rsidRPr="00D61C08">
        <w:rPr>
          <w:rFonts w:ascii="Calibri" w:eastAsia="Times New Roman" w:hAnsi="Calibri" w:cs="Calibri"/>
          <w:b/>
          <w:sz w:val="24"/>
          <w:szCs w:val="24"/>
        </w:rPr>
        <w:tab/>
      </w:r>
      <w:r w:rsidRPr="00D61C08">
        <w:rPr>
          <w:rFonts w:ascii="Calibri" w:eastAsia="Times New Roman" w:hAnsi="Calibri" w:cs="Calibri"/>
          <w:b/>
          <w:sz w:val="24"/>
          <w:szCs w:val="24"/>
        </w:rPr>
        <w:tab/>
      </w:r>
      <w:r w:rsidRPr="00D61C08">
        <w:rPr>
          <w:rFonts w:ascii="Calibri" w:eastAsia="Times New Roman" w:hAnsi="Calibri" w:cs="Calibri"/>
          <w:b/>
          <w:sz w:val="24"/>
          <w:szCs w:val="24"/>
        </w:rPr>
        <w:tab/>
      </w:r>
      <w:r w:rsidRPr="00D61C08">
        <w:rPr>
          <w:rFonts w:ascii="Calibri" w:eastAsia="Times New Roman" w:hAnsi="Calibri" w:cs="Calibri"/>
          <w:b/>
          <w:sz w:val="24"/>
          <w:szCs w:val="24"/>
        </w:rPr>
        <w:tab/>
        <w:t xml:space="preserve">                    </w:t>
      </w:r>
      <w:proofErr w:type="spellStart"/>
      <w:r w:rsidRPr="00D61C08">
        <w:rPr>
          <w:rFonts w:ascii="Calibri" w:eastAsia="Times New Roman" w:hAnsi="Calibri" w:cs="Calibri"/>
          <w:b/>
          <w:sz w:val="24"/>
          <w:szCs w:val="24"/>
        </w:rPr>
        <w:t>Kemshall</w:t>
      </w:r>
      <w:proofErr w:type="spellEnd"/>
      <w:r w:rsidRPr="00D61C08">
        <w:rPr>
          <w:rFonts w:ascii="Calibri" w:eastAsia="Times New Roman" w:hAnsi="Calibri" w:cs="Calibri"/>
          <w:b/>
          <w:sz w:val="24"/>
          <w:szCs w:val="24"/>
        </w:rPr>
        <w:t>, 1998</w:t>
      </w:r>
    </w:p>
    <w:p w14:paraId="4EB7EF9B" w14:textId="77777777" w:rsidR="00D61C08" w:rsidRPr="00D61C08" w:rsidRDefault="00D61C08" w:rsidP="00D61C08">
      <w:pPr>
        <w:spacing w:after="0" w:line="360" w:lineRule="auto"/>
        <w:rPr>
          <w:rFonts w:ascii="Calibri" w:eastAsia="Times New Roman" w:hAnsi="Calibri" w:cs="Calibri"/>
          <w:b/>
          <w:sz w:val="24"/>
          <w:szCs w:val="24"/>
        </w:rPr>
      </w:pPr>
    </w:p>
    <w:p w14:paraId="016FDD09" w14:textId="77777777" w:rsidR="00AA3CAF" w:rsidRPr="00D61C08" w:rsidRDefault="00AA3CAF" w:rsidP="00306951">
      <w:pPr>
        <w:pStyle w:val="NoSpacing"/>
        <w:spacing w:line="360" w:lineRule="auto"/>
        <w:rPr>
          <w:rFonts w:eastAsia="Times New Roman"/>
          <w:b/>
          <w:sz w:val="24"/>
          <w:szCs w:val="24"/>
        </w:rPr>
      </w:pPr>
      <w:r w:rsidRPr="00D61C08">
        <w:rPr>
          <w:rFonts w:eastAsia="Times New Roman"/>
          <w:b/>
          <w:sz w:val="24"/>
          <w:szCs w:val="24"/>
        </w:rPr>
        <w:t>Definition of High risk of serious harm to others:</w:t>
      </w:r>
    </w:p>
    <w:p w14:paraId="3B7F5FF0" w14:textId="77777777" w:rsidR="00AA3CAF" w:rsidRPr="00D61C08" w:rsidRDefault="00AA3CAF" w:rsidP="00306951">
      <w:pPr>
        <w:pStyle w:val="NoSpacing"/>
        <w:spacing w:line="360" w:lineRule="auto"/>
        <w:ind w:left="720"/>
        <w:rPr>
          <w:rFonts w:eastAsia="Times New Roman"/>
          <w:color w:val="0033CC"/>
          <w:sz w:val="24"/>
          <w:szCs w:val="24"/>
        </w:rPr>
      </w:pPr>
      <w:r w:rsidRPr="00D61C08">
        <w:rPr>
          <w:rFonts w:eastAsia="Times New Roman"/>
          <w:sz w:val="24"/>
          <w:szCs w:val="24"/>
        </w:rPr>
        <w:t xml:space="preserve">Risk of harm identified. The potential event could happen at any time and the impact would be serious. Action should be taken </w:t>
      </w:r>
      <w:proofErr w:type="gramStart"/>
      <w:r w:rsidRPr="00D61C08">
        <w:rPr>
          <w:rFonts w:eastAsia="Times New Roman"/>
          <w:sz w:val="24"/>
          <w:szCs w:val="24"/>
        </w:rPr>
        <w:t>in the near future</w:t>
      </w:r>
      <w:proofErr w:type="gramEnd"/>
      <w:r w:rsidRPr="00D61C08">
        <w:rPr>
          <w:rFonts w:eastAsia="Times New Roman"/>
          <w:sz w:val="24"/>
          <w:szCs w:val="24"/>
        </w:rPr>
        <w:t xml:space="preserve"> and the case will need monitoring (</w:t>
      </w:r>
      <w:proofErr w:type="spellStart"/>
      <w:r w:rsidRPr="00D61C08">
        <w:rPr>
          <w:rFonts w:eastAsia="Times New Roman"/>
          <w:sz w:val="24"/>
          <w:szCs w:val="24"/>
        </w:rPr>
        <w:t>eg.</w:t>
      </w:r>
      <w:proofErr w:type="spellEnd"/>
      <w:r w:rsidRPr="00D61C08">
        <w:rPr>
          <w:rFonts w:eastAsia="Times New Roman"/>
          <w:sz w:val="24"/>
          <w:szCs w:val="24"/>
        </w:rPr>
        <w:t xml:space="preserve"> Supervision by middle/senior management, local registration)</w:t>
      </w:r>
    </w:p>
    <w:p w14:paraId="20904079" w14:textId="77777777" w:rsidR="00AA3CAF" w:rsidRDefault="00AA3CAF" w:rsidP="00306951">
      <w:pPr>
        <w:spacing w:after="0" w:line="360" w:lineRule="auto"/>
        <w:rPr>
          <w:rFonts w:ascii="Calibri" w:eastAsia="Times New Roman" w:hAnsi="Calibri" w:cs="Calibri"/>
          <w:bCs/>
          <w:color w:val="0033CC"/>
          <w:sz w:val="24"/>
          <w:szCs w:val="24"/>
        </w:rPr>
      </w:pPr>
    </w:p>
    <w:p w14:paraId="59062F6F" w14:textId="77777777" w:rsidR="00AA3CAF" w:rsidRPr="00D61C08" w:rsidRDefault="00AA3CAF" w:rsidP="00D61C08">
      <w:pPr>
        <w:pStyle w:val="NoSpacing"/>
        <w:spacing w:line="360" w:lineRule="auto"/>
        <w:rPr>
          <w:rFonts w:eastAsia="Times New Roman"/>
          <w:b/>
          <w:sz w:val="24"/>
          <w:szCs w:val="24"/>
        </w:rPr>
      </w:pPr>
      <w:r w:rsidRPr="00D61C08">
        <w:rPr>
          <w:rFonts w:eastAsia="Times New Roman"/>
          <w:b/>
          <w:sz w:val="24"/>
          <w:szCs w:val="24"/>
        </w:rPr>
        <w:t>Definition of Very High Risk of Serious Harm to others:</w:t>
      </w:r>
    </w:p>
    <w:p w14:paraId="5D56881E" w14:textId="77777777" w:rsidR="00AA3CAF" w:rsidRPr="00D61C08" w:rsidRDefault="00AA3CAF" w:rsidP="00306951">
      <w:pPr>
        <w:pStyle w:val="NoSpacing"/>
        <w:spacing w:line="360" w:lineRule="auto"/>
        <w:ind w:left="720"/>
        <w:rPr>
          <w:rFonts w:eastAsia="Times New Roman"/>
          <w:sz w:val="24"/>
          <w:szCs w:val="24"/>
        </w:rPr>
      </w:pPr>
      <w:r w:rsidRPr="00D61C08">
        <w:rPr>
          <w:rFonts w:eastAsia="Times New Roman"/>
          <w:sz w:val="24"/>
          <w:szCs w:val="24"/>
        </w:rPr>
        <w:t>Imminent risk of harm identified. The young person will commit behaviour in question as soon as the opportunity arises, and the impact would be serious. Immediate multi-agency action is likely to be required. The potential event is more likely than not to happen imminently</w:t>
      </w:r>
      <w:r w:rsidR="00CD7671" w:rsidRPr="00D61C08">
        <w:rPr>
          <w:rFonts w:eastAsia="Times New Roman"/>
          <w:sz w:val="24"/>
          <w:szCs w:val="24"/>
        </w:rPr>
        <w:t>.</w:t>
      </w:r>
    </w:p>
    <w:p w14:paraId="5BB0DC16" w14:textId="77777777" w:rsidR="00D61C08" w:rsidRPr="00D61C08" w:rsidRDefault="00D61C08" w:rsidP="00D61C08">
      <w:pPr>
        <w:pStyle w:val="NoSpacing"/>
        <w:spacing w:line="360" w:lineRule="auto"/>
        <w:rPr>
          <w:rFonts w:eastAsia="Times New Roman"/>
          <w:sz w:val="24"/>
          <w:szCs w:val="24"/>
        </w:rPr>
      </w:pPr>
    </w:p>
    <w:p w14:paraId="2AF81521" w14:textId="77777777" w:rsidR="00AA3CAF" w:rsidRPr="00D61C08" w:rsidRDefault="00AA3CAF" w:rsidP="00D61C08">
      <w:pPr>
        <w:pStyle w:val="NoSpacing"/>
        <w:spacing w:line="360" w:lineRule="auto"/>
        <w:rPr>
          <w:rFonts w:eastAsia="Times New Roman"/>
          <w:b/>
          <w:bCs/>
          <w:color w:val="000000"/>
          <w:sz w:val="24"/>
          <w:szCs w:val="24"/>
        </w:rPr>
      </w:pPr>
      <w:r w:rsidRPr="00D61C08">
        <w:rPr>
          <w:rFonts w:eastAsia="Times New Roman"/>
          <w:b/>
          <w:sz w:val="24"/>
          <w:szCs w:val="24"/>
        </w:rPr>
        <w:t>Definition of High Risk of Safety and Well-being</w:t>
      </w:r>
      <w:r w:rsidRPr="00D61C08">
        <w:rPr>
          <w:rFonts w:eastAsia="Times New Roman"/>
          <w:b/>
          <w:bCs/>
          <w:color w:val="000000"/>
          <w:sz w:val="24"/>
          <w:szCs w:val="24"/>
        </w:rPr>
        <w:t>:</w:t>
      </w:r>
    </w:p>
    <w:p w14:paraId="0A4F645D" w14:textId="77777777" w:rsidR="00AA3CAF" w:rsidRPr="00D61C08" w:rsidRDefault="00AA3CAF" w:rsidP="00306951">
      <w:pPr>
        <w:pStyle w:val="NoSpacing"/>
        <w:spacing w:line="360" w:lineRule="auto"/>
        <w:ind w:left="720"/>
        <w:rPr>
          <w:rFonts w:eastAsia="Times New Roman"/>
          <w:color w:val="0033CC"/>
          <w:sz w:val="24"/>
          <w:szCs w:val="24"/>
        </w:rPr>
      </w:pPr>
      <w:r w:rsidRPr="00D61C08">
        <w:rPr>
          <w:rFonts w:eastAsia="Times New Roman"/>
          <w:sz w:val="24"/>
          <w:szCs w:val="24"/>
        </w:rPr>
        <w:t xml:space="preserve">Clear risks to the child or young person’s safety and well-being have been identifies, are likely to occur and the impact will compromise the young person’s safety and well-being. Actions are required </w:t>
      </w:r>
      <w:proofErr w:type="gramStart"/>
      <w:r w:rsidRPr="00D61C08">
        <w:rPr>
          <w:rFonts w:eastAsia="Times New Roman"/>
          <w:sz w:val="24"/>
          <w:szCs w:val="24"/>
        </w:rPr>
        <w:t>in the near future</w:t>
      </w:r>
      <w:proofErr w:type="gramEnd"/>
      <w:r w:rsidRPr="00D61C08">
        <w:rPr>
          <w:rFonts w:eastAsia="Times New Roman"/>
          <w:sz w:val="24"/>
          <w:szCs w:val="24"/>
        </w:rPr>
        <w:t xml:space="preserve"> and are likely to involve other agencies in addition to youth justice services.</w:t>
      </w:r>
    </w:p>
    <w:p w14:paraId="22CA014E" w14:textId="77777777" w:rsidR="00AA3CAF" w:rsidRPr="00D61C08" w:rsidRDefault="00AA3CAF" w:rsidP="00D61C08">
      <w:pPr>
        <w:spacing w:after="0" w:line="360" w:lineRule="auto"/>
        <w:ind w:left="142" w:hanging="142"/>
        <w:rPr>
          <w:rFonts w:ascii="Calibri" w:eastAsia="Times New Roman" w:hAnsi="Calibri" w:cs="Calibri"/>
          <w:b/>
          <w:sz w:val="24"/>
          <w:szCs w:val="24"/>
        </w:rPr>
      </w:pPr>
    </w:p>
    <w:p w14:paraId="3AA0C5AF" w14:textId="77777777" w:rsidR="00AA3CAF" w:rsidRPr="00D61C08" w:rsidRDefault="00AA3CAF" w:rsidP="00D61C08">
      <w:pPr>
        <w:pStyle w:val="NoSpacing"/>
        <w:spacing w:line="360" w:lineRule="auto"/>
        <w:rPr>
          <w:rFonts w:eastAsia="Times New Roman"/>
          <w:b/>
          <w:sz w:val="24"/>
          <w:szCs w:val="24"/>
        </w:rPr>
      </w:pPr>
      <w:r w:rsidRPr="00D61C08">
        <w:rPr>
          <w:rFonts w:eastAsia="Times New Roman"/>
          <w:b/>
          <w:sz w:val="24"/>
          <w:szCs w:val="24"/>
        </w:rPr>
        <w:t>Definition of Very High Risk to Safety and Well being</w:t>
      </w:r>
    </w:p>
    <w:p w14:paraId="44CC94D4" w14:textId="77777777" w:rsidR="00D61C08" w:rsidRPr="00306951" w:rsidRDefault="00AA3CAF" w:rsidP="00306951">
      <w:pPr>
        <w:pStyle w:val="NoSpacing"/>
        <w:spacing w:line="360" w:lineRule="auto"/>
        <w:ind w:left="720"/>
        <w:rPr>
          <w:rFonts w:eastAsia="Times New Roman"/>
          <w:color w:val="0033CC"/>
          <w:sz w:val="28"/>
          <w:szCs w:val="28"/>
        </w:rPr>
      </w:pPr>
      <w:r w:rsidRPr="00D61C08">
        <w:rPr>
          <w:rFonts w:eastAsia="Times New Roman"/>
          <w:sz w:val="24"/>
          <w:szCs w:val="24"/>
        </w:rPr>
        <w:t>Clear risks to the young person’s safety and well-being have been identified, are imminent and the young person is unsafe. Immediate actions are needed to protect the young person, which will include (or have already included) a referral to statutory child protection services</w:t>
      </w:r>
      <w:r w:rsidRPr="00D61C08">
        <w:rPr>
          <w:rFonts w:eastAsia="Times New Roman"/>
          <w:color w:val="0033CC"/>
          <w:sz w:val="24"/>
          <w:szCs w:val="24"/>
        </w:rPr>
        <w:t>.</w:t>
      </w:r>
      <w:r w:rsidRPr="00D61C08">
        <w:rPr>
          <w:rFonts w:eastAsia="Times New Roman"/>
          <w:color w:val="0033CC"/>
          <w:sz w:val="24"/>
          <w:szCs w:val="24"/>
        </w:rPr>
        <w:tab/>
      </w:r>
      <w:r w:rsidRPr="00CD7671">
        <w:rPr>
          <w:rFonts w:eastAsia="Times New Roman"/>
          <w:color w:val="0033CC"/>
          <w:sz w:val="28"/>
          <w:szCs w:val="28"/>
        </w:rPr>
        <w:t xml:space="preserve">                               </w:t>
      </w:r>
    </w:p>
    <w:p w14:paraId="77766314" w14:textId="77777777" w:rsidR="008D0F7B" w:rsidRDefault="008D0F7B" w:rsidP="001E23EE">
      <w:pPr>
        <w:rPr>
          <w:b/>
          <w:bCs/>
          <w:color w:val="FF0000"/>
          <w:sz w:val="28"/>
          <w:szCs w:val="28"/>
        </w:rPr>
      </w:pPr>
    </w:p>
    <w:p w14:paraId="13C3DCD8" w14:textId="77777777" w:rsidR="008D0F7B" w:rsidRDefault="00AA3CAF" w:rsidP="001E23EE">
      <w:pPr>
        <w:rPr>
          <w:b/>
          <w:bCs/>
          <w:color w:val="FF0000"/>
          <w:sz w:val="28"/>
          <w:szCs w:val="28"/>
        </w:rPr>
      </w:pPr>
      <w:r>
        <w:rPr>
          <w:b/>
          <w:bCs/>
          <w:color w:val="FF0000"/>
          <w:sz w:val="28"/>
          <w:szCs w:val="28"/>
        </w:rPr>
        <w:t>A</w:t>
      </w:r>
      <w:r w:rsidR="00D61C08">
        <w:rPr>
          <w:b/>
          <w:bCs/>
          <w:color w:val="FF0000"/>
          <w:sz w:val="28"/>
          <w:szCs w:val="28"/>
        </w:rPr>
        <w:t xml:space="preserve">PPENDIX </w:t>
      </w:r>
      <w:r>
        <w:rPr>
          <w:b/>
          <w:bCs/>
          <w:color w:val="FF0000"/>
          <w:sz w:val="28"/>
          <w:szCs w:val="28"/>
        </w:rPr>
        <w:t>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AA3CAF" w:rsidRPr="00AA3CAF" w14:paraId="5E5D9755" w14:textId="77777777" w:rsidTr="00E049A3">
        <w:tc>
          <w:tcPr>
            <w:tcW w:w="9498" w:type="dxa"/>
          </w:tcPr>
          <w:p w14:paraId="5BFC1792" w14:textId="77777777" w:rsidR="00AA3CAF" w:rsidRPr="008D0F7B" w:rsidRDefault="00AA3CAF" w:rsidP="009600F2">
            <w:pPr>
              <w:pStyle w:val="NoSpacing"/>
              <w:jc w:val="center"/>
              <w:rPr>
                <w:rFonts w:eastAsia="Times New Roman"/>
                <w:b/>
                <w:sz w:val="24"/>
                <w:szCs w:val="24"/>
              </w:rPr>
            </w:pPr>
            <w:r w:rsidRPr="00AA3CAF">
              <w:rPr>
                <w:rFonts w:eastAsia="Times New Roman"/>
              </w:rPr>
              <w:br w:type="page"/>
            </w:r>
          </w:p>
          <w:p w14:paraId="7121125B" w14:textId="77777777" w:rsidR="00AA3CAF" w:rsidRPr="008D0F7B" w:rsidRDefault="00AA3CAF" w:rsidP="008D0F7B">
            <w:pPr>
              <w:pStyle w:val="NoSpacing"/>
              <w:spacing w:line="360" w:lineRule="auto"/>
              <w:jc w:val="center"/>
              <w:rPr>
                <w:rFonts w:eastAsia="Times New Roman"/>
                <w:b/>
                <w:sz w:val="24"/>
                <w:szCs w:val="24"/>
              </w:rPr>
            </w:pPr>
            <w:r w:rsidRPr="008D0F7B">
              <w:rPr>
                <w:rFonts w:eastAsia="Times New Roman"/>
                <w:b/>
                <w:sz w:val="24"/>
                <w:szCs w:val="24"/>
              </w:rPr>
              <w:t>ENFIELD YOUTH OFFENDING SERVICE</w:t>
            </w:r>
          </w:p>
          <w:p w14:paraId="1CCA107E" w14:textId="77777777" w:rsidR="00AA3CAF" w:rsidRPr="008D0F7B" w:rsidRDefault="00AA3CAF" w:rsidP="008D0F7B">
            <w:pPr>
              <w:pStyle w:val="NoSpacing"/>
              <w:spacing w:line="360" w:lineRule="auto"/>
              <w:jc w:val="center"/>
              <w:rPr>
                <w:rFonts w:eastAsia="Times New Roman"/>
                <w:b/>
                <w:sz w:val="24"/>
                <w:szCs w:val="24"/>
              </w:rPr>
            </w:pPr>
            <w:r w:rsidRPr="008D0F7B">
              <w:rPr>
                <w:rFonts w:eastAsia="Times New Roman"/>
                <w:b/>
                <w:sz w:val="24"/>
                <w:szCs w:val="24"/>
              </w:rPr>
              <w:t>High Risk Panel</w:t>
            </w:r>
          </w:p>
          <w:p w14:paraId="0EE766C0" w14:textId="77777777" w:rsidR="00E049A3" w:rsidRPr="00AA3CAF" w:rsidRDefault="00E049A3" w:rsidP="009600F2">
            <w:pPr>
              <w:pStyle w:val="NoSpacing"/>
              <w:jc w:val="center"/>
              <w:rPr>
                <w:rFonts w:eastAsia="Times New Roman"/>
              </w:rPr>
            </w:pPr>
          </w:p>
        </w:tc>
      </w:tr>
    </w:tbl>
    <w:p w14:paraId="478391F0" w14:textId="77777777" w:rsidR="00AA3CAF" w:rsidRPr="00AA3CAF" w:rsidRDefault="00AA3CAF" w:rsidP="009F32D5">
      <w:pPr>
        <w:spacing w:after="0" w:line="360" w:lineRule="auto"/>
        <w:rPr>
          <w:rFonts w:ascii="Trebuchet MS" w:eastAsia="Times New Roman" w:hAnsi="Trebuchet M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AA3CAF" w:rsidRPr="008D0F7B" w14:paraId="4214E6EA" w14:textId="77777777" w:rsidTr="00E049A3">
        <w:tc>
          <w:tcPr>
            <w:tcW w:w="9493" w:type="dxa"/>
          </w:tcPr>
          <w:p w14:paraId="1D8279E8" w14:textId="77777777" w:rsidR="00AA3CAF" w:rsidRPr="008D0F7B" w:rsidRDefault="00AA3CAF" w:rsidP="008D0F7B">
            <w:pPr>
              <w:keepNext/>
              <w:spacing w:after="0" w:line="360" w:lineRule="auto"/>
              <w:ind w:left="-900"/>
              <w:jc w:val="center"/>
              <w:outlineLvl w:val="1"/>
              <w:rPr>
                <w:rFonts w:ascii="Trebuchet MS" w:eastAsia="Times New Roman" w:hAnsi="Trebuchet MS" w:cs="Arial"/>
                <w:sz w:val="24"/>
                <w:szCs w:val="24"/>
                <w:u w:val="single"/>
              </w:rPr>
            </w:pPr>
          </w:p>
          <w:p w14:paraId="318B8B54" w14:textId="77777777" w:rsidR="00AA3CAF" w:rsidRPr="008D0F7B" w:rsidRDefault="00AA3CAF" w:rsidP="008D0F7B">
            <w:pPr>
              <w:pStyle w:val="NoSpacing"/>
              <w:spacing w:line="360" w:lineRule="auto"/>
              <w:jc w:val="center"/>
              <w:rPr>
                <w:rFonts w:eastAsia="Times New Roman"/>
                <w:b/>
                <w:i/>
                <w:sz w:val="24"/>
                <w:szCs w:val="24"/>
                <w:u w:val="single"/>
              </w:rPr>
            </w:pPr>
            <w:r w:rsidRPr="008D0F7B">
              <w:rPr>
                <w:rFonts w:eastAsia="Times New Roman"/>
                <w:b/>
                <w:i/>
                <w:sz w:val="24"/>
                <w:szCs w:val="24"/>
                <w:u w:val="single"/>
              </w:rPr>
              <w:t>CONFIDENTIALITY STATEMENT</w:t>
            </w:r>
          </w:p>
          <w:p w14:paraId="516CEB62" w14:textId="77777777" w:rsidR="009600F2" w:rsidRPr="008D0F7B" w:rsidRDefault="009600F2" w:rsidP="008D0F7B">
            <w:pPr>
              <w:pStyle w:val="NoSpacing"/>
              <w:spacing w:line="360" w:lineRule="auto"/>
              <w:rPr>
                <w:rFonts w:eastAsia="Times New Roman" w:cs="Times New Roman"/>
                <w:sz w:val="24"/>
                <w:szCs w:val="24"/>
              </w:rPr>
            </w:pPr>
          </w:p>
          <w:p w14:paraId="5A8EEE95" w14:textId="77777777" w:rsidR="00AA3CAF" w:rsidRPr="008D0F7B" w:rsidRDefault="00AA3CAF" w:rsidP="008D0F7B">
            <w:pPr>
              <w:pStyle w:val="NoSpacing"/>
              <w:spacing w:line="360" w:lineRule="auto"/>
              <w:rPr>
                <w:rFonts w:eastAsia="Times New Roman" w:cs="Times New Roman"/>
                <w:sz w:val="24"/>
                <w:szCs w:val="24"/>
              </w:rPr>
            </w:pPr>
            <w:r w:rsidRPr="008D0F7B">
              <w:rPr>
                <w:rFonts w:eastAsia="Times New Roman"/>
                <w:sz w:val="24"/>
                <w:szCs w:val="24"/>
              </w:rPr>
              <w:t xml:space="preserve">THIS MEETING IS CONFIDENTIAL AND THE DISCUSSION AND INFORMATION SHARED IS RESTRICTED TO PARTIES PRESENT, UNLESS THERE IS AGREEMENT FROM THE CHAIR TO DO OTHERWISE.  THIS IS AN INTERIM POSITION IN THE ABSENCE OF INFORMATION SHARING AGREEMENTS FOR HIGH RISK PANELS.  </w:t>
            </w:r>
          </w:p>
          <w:p w14:paraId="3863BE1E" w14:textId="77777777" w:rsidR="009600F2" w:rsidRPr="008D0F7B" w:rsidRDefault="009600F2" w:rsidP="008D0F7B">
            <w:pPr>
              <w:pStyle w:val="NoSpacing"/>
              <w:spacing w:line="360" w:lineRule="auto"/>
              <w:rPr>
                <w:rFonts w:eastAsia="Times New Roman" w:cs="Times New Roman"/>
                <w:sz w:val="24"/>
                <w:szCs w:val="24"/>
              </w:rPr>
            </w:pPr>
          </w:p>
          <w:p w14:paraId="658165A1" w14:textId="77777777" w:rsidR="00AA3CAF" w:rsidRPr="008D0F7B" w:rsidRDefault="00AA3CAF" w:rsidP="008D0F7B">
            <w:pPr>
              <w:pStyle w:val="NoSpacing"/>
              <w:spacing w:line="360" w:lineRule="auto"/>
              <w:rPr>
                <w:rFonts w:eastAsia="Times New Roman"/>
                <w:sz w:val="24"/>
                <w:szCs w:val="24"/>
              </w:rPr>
            </w:pPr>
            <w:r w:rsidRPr="008D0F7B">
              <w:rPr>
                <w:rFonts w:eastAsia="Times New Roman"/>
                <w:sz w:val="24"/>
                <w:szCs w:val="24"/>
              </w:rPr>
              <w:t>THIS MEETING IS CLOSED UNDER THE FREEDOM OF INFORMATION ACT 2000 UNDER ONE OR MORE OF THE FOLLOWING EXEMPTIONS:</w:t>
            </w:r>
          </w:p>
          <w:p w14:paraId="3024BE6F" w14:textId="77777777" w:rsidR="009600F2" w:rsidRPr="008D0F7B" w:rsidRDefault="009600F2" w:rsidP="008D0F7B">
            <w:pPr>
              <w:pStyle w:val="NoSpacing"/>
              <w:spacing w:line="360" w:lineRule="auto"/>
              <w:rPr>
                <w:rFonts w:eastAsia="Times New Roman"/>
                <w:sz w:val="24"/>
                <w:szCs w:val="24"/>
              </w:rPr>
            </w:pPr>
          </w:p>
          <w:p w14:paraId="0CAA8636" w14:textId="77777777" w:rsidR="00AA3CAF" w:rsidRPr="008D0F7B" w:rsidRDefault="00AA3CAF" w:rsidP="008D0F7B">
            <w:pPr>
              <w:pStyle w:val="NoSpacing"/>
              <w:spacing w:line="360" w:lineRule="auto"/>
              <w:rPr>
                <w:rFonts w:eastAsia="Times New Roman"/>
                <w:sz w:val="24"/>
                <w:szCs w:val="24"/>
              </w:rPr>
            </w:pPr>
            <w:r w:rsidRPr="008D0F7B">
              <w:rPr>
                <w:rFonts w:eastAsia="Times New Roman"/>
                <w:sz w:val="24"/>
                <w:szCs w:val="24"/>
              </w:rPr>
              <w:t>INVESTIGATIONS AND PROCEEDINGS CONDUCTED BY PUBLIC AUTHORITIES (S.30 (1)(B)</w:t>
            </w:r>
          </w:p>
          <w:p w14:paraId="04EB8FF3" w14:textId="77777777" w:rsidR="00AA3CAF" w:rsidRPr="008D0F7B" w:rsidRDefault="00AA3CAF" w:rsidP="008D0F7B">
            <w:pPr>
              <w:pStyle w:val="NoSpacing"/>
              <w:spacing w:line="360" w:lineRule="auto"/>
              <w:rPr>
                <w:rFonts w:eastAsia="Times New Roman"/>
                <w:sz w:val="24"/>
                <w:szCs w:val="24"/>
              </w:rPr>
            </w:pPr>
            <w:r w:rsidRPr="008D0F7B">
              <w:rPr>
                <w:rFonts w:eastAsia="Times New Roman"/>
                <w:sz w:val="24"/>
                <w:szCs w:val="24"/>
              </w:rPr>
              <w:t>HEALTH AND SAFETY (S.39)</w:t>
            </w:r>
          </w:p>
          <w:p w14:paraId="5BFE17F2" w14:textId="77777777" w:rsidR="00AA3CAF" w:rsidRPr="008D0F7B" w:rsidRDefault="00AA3CAF" w:rsidP="008D0F7B">
            <w:pPr>
              <w:pStyle w:val="NoSpacing"/>
              <w:spacing w:line="360" w:lineRule="auto"/>
              <w:rPr>
                <w:rFonts w:eastAsia="Times New Roman"/>
                <w:sz w:val="24"/>
                <w:szCs w:val="24"/>
              </w:rPr>
            </w:pPr>
            <w:r w:rsidRPr="008D0F7B">
              <w:rPr>
                <w:rFonts w:eastAsia="Times New Roman"/>
                <w:sz w:val="24"/>
                <w:szCs w:val="24"/>
              </w:rPr>
              <w:t>PERSONAL INFORMATION (S.40)</w:t>
            </w:r>
          </w:p>
          <w:p w14:paraId="3DE9815F" w14:textId="77777777" w:rsidR="00AA3CAF" w:rsidRPr="009F32D5" w:rsidRDefault="00AA3CAF" w:rsidP="009F32D5">
            <w:pPr>
              <w:pStyle w:val="NoSpacing"/>
              <w:spacing w:line="360" w:lineRule="auto"/>
              <w:rPr>
                <w:rFonts w:eastAsia="Times New Roman" w:cs="Times New Roman"/>
                <w:sz w:val="24"/>
                <w:szCs w:val="24"/>
              </w:rPr>
            </w:pPr>
            <w:r w:rsidRPr="008D0F7B">
              <w:rPr>
                <w:rFonts w:eastAsia="Times New Roman"/>
                <w:sz w:val="24"/>
                <w:szCs w:val="24"/>
              </w:rPr>
              <w:t>INFORMATION PROVIDED IN CONFIDENCE (S.41)</w:t>
            </w:r>
          </w:p>
        </w:tc>
      </w:tr>
    </w:tbl>
    <w:p w14:paraId="36EB6AD6" w14:textId="77777777" w:rsidR="00AA3CAF" w:rsidRDefault="00AA3CAF" w:rsidP="00AA3CAF">
      <w:pPr>
        <w:spacing w:after="0" w:line="240" w:lineRule="auto"/>
        <w:rPr>
          <w:rFonts w:ascii="Trebuchet MS" w:eastAsia="Times New Roman" w:hAnsi="Trebuchet MS" w:cs="Times New Roman"/>
          <w:sz w:val="24"/>
          <w:szCs w:val="24"/>
        </w:rPr>
      </w:pPr>
    </w:p>
    <w:p w14:paraId="006E66B1" w14:textId="77777777" w:rsidR="009F32D5" w:rsidRPr="00AA3CAF" w:rsidRDefault="009F32D5" w:rsidP="00AA3CAF">
      <w:pPr>
        <w:spacing w:after="0" w:line="240" w:lineRule="auto"/>
        <w:rPr>
          <w:rFonts w:ascii="Trebuchet MS" w:eastAsia="Times New Roman" w:hAnsi="Trebuchet M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AA3CAF" w:rsidRPr="00AA3CAF" w14:paraId="46CDD6D6" w14:textId="77777777" w:rsidTr="00E049A3">
        <w:tc>
          <w:tcPr>
            <w:tcW w:w="9493" w:type="dxa"/>
          </w:tcPr>
          <w:p w14:paraId="26664AB3" w14:textId="77777777" w:rsidR="00AA3CAF" w:rsidRPr="009600F2" w:rsidRDefault="00AA3CAF" w:rsidP="009600F2">
            <w:pPr>
              <w:spacing w:after="0" w:line="240" w:lineRule="auto"/>
              <w:jc w:val="center"/>
              <w:rPr>
                <w:rFonts w:ascii="Trebuchet MS" w:eastAsia="Times New Roman" w:hAnsi="Trebuchet MS" w:cs="Times New Roman"/>
                <w:b/>
                <w:i/>
                <w:sz w:val="24"/>
                <w:szCs w:val="24"/>
                <w:u w:val="single"/>
              </w:rPr>
            </w:pPr>
          </w:p>
          <w:p w14:paraId="3D4C89EC" w14:textId="77777777" w:rsidR="00AA3CAF" w:rsidRPr="008D0F7B" w:rsidRDefault="00AA3CAF" w:rsidP="008D0F7B">
            <w:pPr>
              <w:pStyle w:val="NoSpacing"/>
              <w:spacing w:line="360" w:lineRule="auto"/>
              <w:jc w:val="center"/>
              <w:rPr>
                <w:rFonts w:eastAsia="Times New Roman"/>
                <w:b/>
                <w:i/>
                <w:sz w:val="24"/>
                <w:szCs w:val="24"/>
                <w:u w:val="single"/>
              </w:rPr>
            </w:pPr>
            <w:r w:rsidRPr="008D0F7B">
              <w:rPr>
                <w:rFonts w:eastAsia="Times New Roman"/>
                <w:b/>
                <w:i/>
                <w:sz w:val="24"/>
                <w:szCs w:val="24"/>
                <w:u w:val="single"/>
              </w:rPr>
              <w:t>DIVERSITY STATEMENT</w:t>
            </w:r>
          </w:p>
          <w:p w14:paraId="3C54005C" w14:textId="77777777" w:rsidR="009600F2" w:rsidRPr="008D0F7B" w:rsidRDefault="009600F2" w:rsidP="008D0F7B">
            <w:pPr>
              <w:pStyle w:val="NoSpacing"/>
              <w:spacing w:line="360" w:lineRule="auto"/>
              <w:rPr>
                <w:rFonts w:eastAsia="Times New Roman"/>
                <w:sz w:val="24"/>
                <w:szCs w:val="24"/>
              </w:rPr>
            </w:pPr>
          </w:p>
          <w:p w14:paraId="7D9E8E81" w14:textId="77777777" w:rsidR="00AA3CAF" w:rsidRPr="009F32D5" w:rsidRDefault="00AA3CAF" w:rsidP="009F32D5">
            <w:pPr>
              <w:pStyle w:val="NoSpacing"/>
              <w:spacing w:line="360" w:lineRule="auto"/>
              <w:rPr>
                <w:rFonts w:eastAsia="Times New Roman"/>
                <w:sz w:val="24"/>
                <w:szCs w:val="24"/>
              </w:rPr>
            </w:pPr>
            <w:r w:rsidRPr="008D0F7B">
              <w:rPr>
                <w:rFonts w:eastAsia="Times New Roman"/>
                <w:sz w:val="24"/>
                <w:szCs w:val="24"/>
              </w:rPr>
              <w:t>THIS MEETING WILL AIM TO REFLECT THAT ALL INDIVIDUALS WHO ARE DISCUSSED AT THIS MEETING SHOULD BE TREATED FAIRLY, WITH RESPECT AND WITHOUT IMPROPER DISCRIMINATION.  ALL WORK UNDERTAKEN AT THE MEETINGS WILL BE INFORMED BY A COMMITMENT TO EQUAL OPPORTUNITIES AND EFFECTIVE PRACTICE ISSUES IN RELATION TO RACE, GENDER, SEXUALITY AND DISABILITY.</w:t>
            </w:r>
          </w:p>
        </w:tc>
      </w:tr>
    </w:tbl>
    <w:p w14:paraId="61B79FD7" w14:textId="77777777" w:rsidR="00AA3CAF" w:rsidRDefault="00AA3CAF" w:rsidP="001E23EE">
      <w:pPr>
        <w:rPr>
          <w:b/>
          <w:bCs/>
          <w:color w:val="FF0000"/>
          <w:sz w:val="28"/>
          <w:szCs w:val="28"/>
        </w:rPr>
      </w:pPr>
    </w:p>
    <w:sectPr w:rsidR="00AA3CAF" w:rsidSect="00E80DF4">
      <w:headerReference w:type="even" r:id="rId13"/>
      <w:headerReference w:type="default" r:id="rId14"/>
      <w:footerReference w:type="even" r:id="rId15"/>
      <w:footerReference w:type="default" r:id="rId16"/>
      <w:headerReference w:type="first" r:id="rId17"/>
      <w:footerReference w:type="first" r:id="rId18"/>
      <w:pgSz w:w="11906" w:h="16838"/>
      <w:pgMar w:top="1440" w:right="1276"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68ACB" w14:textId="77777777" w:rsidR="006A30A3" w:rsidRDefault="006A30A3" w:rsidP="00151E19">
      <w:pPr>
        <w:spacing w:after="0" w:line="240" w:lineRule="auto"/>
      </w:pPr>
      <w:r>
        <w:separator/>
      </w:r>
    </w:p>
  </w:endnote>
  <w:endnote w:type="continuationSeparator" w:id="0">
    <w:p w14:paraId="466490C5" w14:textId="77777777" w:rsidR="006A30A3" w:rsidRDefault="006A30A3" w:rsidP="0015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9C8B" w14:textId="77777777" w:rsidR="00262E6C" w:rsidRDefault="00262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93419"/>
      <w:docPartObj>
        <w:docPartGallery w:val="Page Numbers (Bottom of Page)"/>
        <w:docPartUnique/>
      </w:docPartObj>
    </w:sdtPr>
    <w:sdtEndPr>
      <w:rPr>
        <w:noProof/>
      </w:rPr>
    </w:sdtEndPr>
    <w:sdtContent>
      <w:p w14:paraId="6C13064D" w14:textId="75A6E13C" w:rsidR="00262E6C" w:rsidRDefault="00262E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D8FD37" w14:textId="77777777" w:rsidR="00262E6C" w:rsidRDefault="00262E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589B" w14:textId="77777777" w:rsidR="00262E6C" w:rsidRDefault="00262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F593" w14:textId="77777777" w:rsidR="006A30A3" w:rsidRDefault="006A30A3" w:rsidP="00151E19">
      <w:pPr>
        <w:spacing w:after="0" w:line="240" w:lineRule="auto"/>
      </w:pPr>
      <w:r>
        <w:separator/>
      </w:r>
    </w:p>
  </w:footnote>
  <w:footnote w:type="continuationSeparator" w:id="0">
    <w:p w14:paraId="215AE537" w14:textId="77777777" w:rsidR="006A30A3" w:rsidRDefault="006A30A3" w:rsidP="00151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FCA3" w14:textId="77777777" w:rsidR="00262E6C" w:rsidRDefault="00262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240C" w14:textId="77777777" w:rsidR="00262E6C" w:rsidRDefault="00262E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2AE7D" w14:textId="77777777" w:rsidR="00262E6C" w:rsidRDefault="00262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0F66"/>
    <w:multiLevelType w:val="hybridMultilevel"/>
    <w:tmpl w:val="A876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A66D8"/>
    <w:multiLevelType w:val="hybridMultilevel"/>
    <w:tmpl w:val="60EC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F52AC"/>
    <w:multiLevelType w:val="hybridMultilevel"/>
    <w:tmpl w:val="930E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B581E"/>
    <w:multiLevelType w:val="hybridMultilevel"/>
    <w:tmpl w:val="DEC4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C0E19"/>
    <w:multiLevelType w:val="hybridMultilevel"/>
    <w:tmpl w:val="C7B4D1D4"/>
    <w:lvl w:ilvl="0" w:tplc="5E82F56C">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847460"/>
    <w:multiLevelType w:val="hybridMultilevel"/>
    <w:tmpl w:val="4FF83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01C1A"/>
    <w:multiLevelType w:val="hybridMultilevel"/>
    <w:tmpl w:val="98E6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B00BC"/>
    <w:multiLevelType w:val="hybridMultilevel"/>
    <w:tmpl w:val="BE70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B1BAB"/>
    <w:multiLevelType w:val="hybridMultilevel"/>
    <w:tmpl w:val="4622F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8570E"/>
    <w:multiLevelType w:val="hybridMultilevel"/>
    <w:tmpl w:val="F8FA2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12DBE"/>
    <w:multiLevelType w:val="hybridMultilevel"/>
    <w:tmpl w:val="40A2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F6CB1"/>
    <w:multiLevelType w:val="hybridMultilevel"/>
    <w:tmpl w:val="0B58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31B22"/>
    <w:multiLevelType w:val="hybridMultilevel"/>
    <w:tmpl w:val="9958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914C9"/>
    <w:multiLevelType w:val="hybridMultilevel"/>
    <w:tmpl w:val="3C2EF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5436D3"/>
    <w:multiLevelType w:val="hybridMultilevel"/>
    <w:tmpl w:val="EAF2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D73544"/>
    <w:multiLevelType w:val="hybridMultilevel"/>
    <w:tmpl w:val="4FA2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E495C"/>
    <w:multiLevelType w:val="hybridMultilevel"/>
    <w:tmpl w:val="9D58CC9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979666B"/>
    <w:multiLevelType w:val="hybridMultilevel"/>
    <w:tmpl w:val="BF08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E13EC"/>
    <w:multiLevelType w:val="hybridMultilevel"/>
    <w:tmpl w:val="BCF4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B7506"/>
    <w:multiLevelType w:val="hybridMultilevel"/>
    <w:tmpl w:val="817E1E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A25EE3"/>
    <w:multiLevelType w:val="hybridMultilevel"/>
    <w:tmpl w:val="FABEFCE0"/>
    <w:lvl w:ilvl="0" w:tplc="A2D8CDF0">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B602FBC"/>
    <w:multiLevelType w:val="hybridMultilevel"/>
    <w:tmpl w:val="EF029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2A7694"/>
    <w:multiLevelType w:val="hybridMultilevel"/>
    <w:tmpl w:val="9B96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F04A69"/>
    <w:multiLevelType w:val="hybridMultilevel"/>
    <w:tmpl w:val="B3126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207E1E"/>
    <w:multiLevelType w:val="hybridMultilevel"/>
    <w:tmpl w:val="808C2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9C7F68"/>
    <w:multiLevelType w:val="hybridMultilevel"/>
    <w:tmpl w:val="3EC22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A559AA"/>
    <w:multiLevelType w:val="hybridMultilevel"/>
    <w:tmpl w:val="3C88A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FF5113"/>
    <w:multiLevelType w:val="hybridMultilevel"/>
    <w:tmpl w:val="271E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883E42"/>
    <w:multiLevelType w:val="hybridMultilevel"/>
    <w:tmpl w:val="291C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D42AA"/>
    <w:multiLevelType w:val="hybridMultilevel"/>
    <w:tmpl w:val="8ECE0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5734C8"/>
    <w:multiLevelType w:val="hybridMultilevel"/>
    <w:tmpl w:val="CE46D9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F511CE0"/>
    <w:multiLevelType w:val="hybridMultilevel"/>
    <w:tmpl w:val="C3029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5"/>
  </w:num>
  <w:num w:numId="4">
    <w:abstractNumId w:val="7"/>
  </w:num>
  <w:num w:numId="5">
    <w:abstractNumId w:val="0"/>
  </w:num>
  <w:num w:numId="6">
    <w:abstractNumId w:val="23"/>
  </w:num>
  <w:num w:numId="7">
    <w:abstractNumId w:val="15"/>
  </w:num>
  <w:num w:numId="8">
    <w:abstractNumId w:val="24"/>
  </w:num>
  <w:num w:numId="9">
    <w:abstractNumId w:val="9"/>
  </w:num>
  <w:num w:numId="10">
    <w:abstractNumId w:val="10"/>
  </w:num>
  <w:num w:numId="11">
    <w:abstractNumId w:val="12"/>
  </w:num>
  <w:num w:numId="12">
    <w:abstractNumId w:val="28"/>
  </w:num>
  <w:num w:numId="13">
    <w:abstractNumId w:val="31"/>
  </w:num>
  <w:num w:numId="14">
    <w:abstractNumId w:val="3"/>
  </w:num>
  <w:num w:numId="15">
    <w:abstractNumId w:val="14"/>
  </w:num>
  <w:num w:numId="16">
    <w:abstractNumId w:val="1"/>
  </w:num>
  <w:num w:numId="17">
    <w:abstractNumId w:val="13"/>
  </w:num>
  <w:num w:numId="18">
    <w:abstractNumId w:val="2"/>
  </w:num>
  <w:num w:numId="19">
    <w:abstractNumId w:val="27"/>
  </w:num>
  <w:num w:numId="20">
    <w:abstractNumId w:val="4"/>
  </w:num>
  <w:num w:numId="21">
    <w:abstractNumId w:val="29"/>
  </w:num>
  <w:num w:numId="22">
    <w:abstractNumId w:val="8"/>
  </w:num>
  <w:num w:numId="23">
    <w:abstractNumId w:val="30"/>
  </w:num>
  <w:num w:numId="24">
    <w:abstractNumId w:val="11"/>
  </w:num>
  <w:num w:numId="25">
    <w:abstractNumId w:val="18"/>
  </w:num>
  <w:num w:numId="26">
    <w:abstractNumId w:val="16"/>
  </w:num>
  <w:num w:numId="27">
    <w:abstractNumId w:val="17"/>
  </w:num>
  <w:num w:numId="28">
    <w:abstractNumId w:val="20"/>
  </w:num>
  <w:num w:numId="29">
    <w:abstractNumId w:val="6"/>
  </w:num>
  <w:num w:numId="30">
    <w:abstractNumId w:val="22"/>
  </w:num>
  <w:num w:numId="31">
    <w:abstractNumId w:val="1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661661C-93E3-4C25-9567-5FB9CE560632}"/>
    <w:docVar w:name="dgnword-eventsink" w:val="756604736"/>
  </w:docVars>
  <w:rsids>
    <w:rsidRoot w:val="001E23EE"/>
    <w:rsid w:val="00000CA9"/>
    <w:rsid w:val="00000E7E"/>
    <w:rsid w:val="000029A1"/>
    <w:rsid w:val="000071B5"/>
    <w:rsid w:val="00013CEF"/>
    <w:rsid w:val="00013DA7"/>
    <w:rsid w:val="00013F83"/>
    <w:rsid w:val="00014408"/>
    <w:rsid w:val="00014F38"/>
    <w:rsid w:val="00020367"/>
    <w:rsid w:val="00031377"/>
    <w:rsid w:val="00032CD3"/>
    <w:rsid w:val="0003355F"/>
    <w:rsid w:val="0003762A"/>
    <w:rsid w:val="000411E9"/>
    <w:rsid w:val="00041836"/>
    <w:rsid w:val="000514CA"/>
    <w:rsid w:val="000667D7"/>
    <w:rsid w:val="00077A5D"/>
    <w:rsid w:val="00081819"/>
    <w:rsid w:val="00086514"/>
    <w:rsid w:val="00090580"/>
    <w:rsid w:val="00090DA7"/>
    <w:rsid w:val="00091C6E"/>
    <w:rsid w:val="000931B6"/>
    <w:rsid w:val="000A3BC0"/>
    <w:rsid w:val="000A6747"/>
    <w:rsid w:val="000B0294"/>
    <w:rsid w:val="000B06E9"/>
    <w:rsid w:val="000B2312"/>
    <w:rsid w:val="000C39A6"/>
    <w:rsid w:val="000C47EA"/>
    <w:rsid w:val="000C5C75"/>
    <w:rsid w:val="000C685E"/>
    <w:rsid w:val="000C7E8C"/>
    <w:rsid w:val="000D6613"/>
    <w:rsid w:val="000D7A85"/>
    <w:rsid w:val="000E6D41"/>
    <w:rsid w:val="000F2FD2"/>
    <w:rsid w:val="00102F58"/>
    <w:rsid w:val="001131E9"/>
    <w:rsid w:val="00117A86"/>
    <w:rsid w:val="00120AD6"/>
    <w:rsid w:val="0012451D"/>
    <w:rsid w:val="0013508F"/>
    <w:rsid w:val="001378C1"/>
    <w:rsid w:val="0014445B"/>
    <w:rsid w:val="00144DE5"/>
    <w:rsid w:val="0014611C"/>
    <w:rsid w:val="00151E19"/>
    <w:rsid w:val="00163469"/>
    <w:rsid w:val="0016371E"/>
    <w:rsid w:val="001643F3"/>
    <w:rsid w:val="00164C4F"/>
    <w:rsid w:val="001741A4"/>
    <w:rsid w:val="00177F0A"/>
    <w:rsid w:val="00180943"/>
    <w:rsid w:val="00186E29"/>
    <w:rsid w:val="00194B55"/>
    <w:rsid w:val="00195EF2"/>
    <w:rsid w:val="001969E7"/>
    <w:rsid w:val="001A2943"/>
    <w:rsid w:val="001B5776"/>
    <w:rsid w:val="001B5C73"/>
    <w:rsid w:val="001C47C3"/>
    <w:rsid w:val="001C6146"/>
    <w:rsid w:val="001D4156"/>
    <w:rsid w:val="001D6869"/>
    <w:rsid w:val="001E0EB9"/>
    <w:rsid w:val="001E2124"/>
    <w:rsid w:val="001E23EE"/>
    <w:rsid w:val="001E742C"/>
    <w:rsid w:val="00204CF7"/>
    <w:rsid w:val="00206966"/>
    <w:rsid w:val="002076A8"/>
    <w:rsid w:val="00210E1E"/>
    <w:rsid w:val="00213A0B"/>
    <w:rsid w:val="00235D8E"/>
    <w:rsid w:val="00240039"/>
    <w:rsid w:val="0024172F"/>
    <w:rsid w:val="00241A90"/>
    <w:rsid w:val="00245219"/>
    <w:rsid w:val="002617B5"/>
    <w:rsid w:val="00262112"/>
    <w:rsid w:val="002621C1"/>
    <w:rsid w:val="00262E6C"/>
    <w:rsid w:val="00274BAA"/>
    <w:rsid w:val="00274F6C"/>
    <w:rsid w:val="00283302"/>
    <w:rsid w:val="00285FB5"/>
    <w:rsid w:val="0028786A"/>
    <w:rsid w:val="00292173"/>
    <w:rsid w:val="002955D2"/>
    <w:rsid w:val="00297D67"/>
    <w:rsid w:val="002A1360"/>
    <w:rsid w:val="002A1F0A"/>
    <w:rsid w:val="002B1744"/>
    <w:rsid w:val="002B413A"/>
    <w:rsid w:val="002B46E3"/>
    <w:rsid w:val="002B72AF"/>
    <w:rsid w:val="002C4A69"/>
    <w:rsid w:val="002C5977"/>
    <w:rsid w:val="002C5E3D"/>
    <w:rsid w:val="002D3568"/>
    <w:rsid w:val="002E36B6"/>
    <w:rsid w:val="002E3C46"/>
    <w:rsid w:val="002E63CB"/>
    <w:rsid w:val="002F035F"/>
    <w:rsid w:val="002F64C9"/>
    <w:rsid w:val="00301E92"/>
    <w:rsid w:val="003061F9"/>
    <w:rsid w:val="0030668A"/>
    <w:rsid w:val="00306951"/>
    <w:rsid w:val="00314443"/>
    <w:rsid w:val="00316C60"/>
    <w:rsid w:val="003208E5"/>
    <w:rsid w:val="0032243C"/>
    <w:rsid w:val="00322884"/>
    <w:rsid w:val="00341C77"/>
    <w:rsid w:val="00342FF6"/>
    <w:rsid w:val="00343A47"/>
    <w:rsid w:val="0034534A"/>
    <w:rsid w:val="0034789D"/>
    <w:rsid w:val="003523D8"/>
    <w:rsid w:val="00361F54"/>
    <w:rsid w:val="0036438C"/>
    <w:rsid w:val="003665C6"/>
    <w:rsid w:val="00370254"/>
    <w:rsid w:val="00371751"/>
    <w:rsid w:val="003760F1"/>
    <w:rsid w:val="00393785"/>
    <w:rsid w:val="003A61BC"/>
    <w:rsid w:val="003A7956"/>
    <w:rsid w:val="003C07A0"/>
    <w:rsid w:val="003C2790"/>
    <w:rsid w:val="003C3324"/>
    <w:rsid w:val="003C46C4"/>
    <w:rsid w:val="003C6A8B"/>
    <w:rsid w:val="003C730E"/>
    <w:rsid w:val="003D2387"/>
    <w:rsid w:val="003D2F8B"/>
    <w:rsid w:val="003D424A"/>
    <w:rsid w:val="003D42FF"/>
    <w:rsid w:val="003E0FF4"/>
    <w:rsid w:val="003E581C"/>
    <w:rsid w:val="003F174F"/>
    <w:rsid w:val="003F3857"/>
    <w:rsid w:val="003F4212"/>
    <w:rsid w:val="003F5EC3"/>
    <w:rsid w:val="004054C1"/>
    <w:rsid w:val="0041265F"/>
    <w:rsid w:val="00426F2F"/>
    <w:rsid w:val="004348E3"/>
    <w:rsid w:val="0044228E"/>
    <w:rsid w:val="00446147"/>
    <w:rsid w:val="00447E07"/>
    <w:rsid w:val="004570FD"/>
    <w:rsid w:val="0045740F"/>
    <w:rsid w:val="0046024A"/>
    <w:rsid w:val="00462E4B"/>
    <w:rsid w:val="00463475"/>
    <w:rsid w:val="00473CE2"/>
    <w:rsid w:val="0047462F"/>
    <w:rsid w:val="00481F92"/>
    <w:rsid w:val="00481FC4"/>
    <w:rsid w:val="00483A7C"/>
    <w:rsid w:val="0049476A"/>
    <w:rsid w:val="004A0869"/>
    <w:rsid w:val="004A0932"/>
    <w:rsid w:val="004A23E2"/>
    <w:rsid w:val="004B0A45"/>
    <w:rsid w:val="004B3585"/>
    <w:rsid w:val="004C0D4A"/>
    <w:rsid w:val="004C3507"/>
    <w:rsid w:val="004C39F2"/>
    <w:rsid w:val="004C4160"/>
    <w:rsid w:val="004C6596"/>
    <w:rsid w:val="004D0A15"/>
    <w:rsid w:val="004D1015"/>
    <w:rsid w:val="004D2238"/>
    <w:rsid w:val="004D24C2"/>
    <w:rsid w:val="004D3208"/>
    <w:rsid w:val="004D7C99"/>
    <w:rsid w:val="004E3A96"/>
    <w:rsid w:val="004E4C7F"/>
    <w:rsid w:val="004E715C"/>
    <w:rsid w:val="004F0A70"/>
    <w:rsid w:val="004F39DF"/>
    <w:rsid w:val="004F3CE9"/>
    <w:rsid w:val="0050449D"/>
    <w:rsid w:val="00504ADD"/>
    <w:rsid w:val="00505837"/>
    <w:rsid w:val="00510965"/>
    <w:rsid w:val="00511A00"/>
    <w:rsid w:val="00514CE4"/>
    <w:rsid w:val="005156FB"/>
    <w:rsid w:val="00524CA5"/>
    <w:rsid w:val="00526840"/>
    <w:rsid w:val="00527931"/>
    <w:rsid w:val="00527B1C"/>
    <w:rsid w:val="00541FCC"/>
    <w:rsid w:val="005447AB"/>
    <w:rsid w:val="005458A1"/>
    <w:rsid w:val="00545B40"/>
    <w:rsid w:val="0056406E"/>
    <w:rsid w:val="00567C00"/>
    <w:rsid w:val="0057513C"/>
    <w:rsid w:val="00577A37"/>
    <w:rsid w:val="00584761"/>
    <w:rsid w:val="005904F2"/>
    <w:rsid w:val="005A17A6"/>
    <w:rsid w:val="005B1299"/>
    <w:rsid w:val="005C5125"/>
    <w:rsid w:val="005D134D"/>
    <w:rsid w:val="005D32B1"/>
    <w:rsid w:val="005D5CE8"/>
    <w:rsid w:val="005D7C85"/>
    <w:rsid w:val="005E17BA"/>
    <w:rsid w:val="005E2CFC"/>
    <w:rsid w:val="005E7266"/>
    <w:rsid w:val="005F5560"/>
    <w:rsid w:val="006075DA"/>
    <w:rsid w:val="00615A34"/>
    <w:rsid w:val="00617D49"/>
    <w:rsid w:val="00624C2F"/>
    <w:rsid w:val="00626216"/>
    <w:rsid w:val="00630EF5"/>
    <w:rsid w:val="006353FD"/>
    <w:rsid w:val="0064484A"/>
    <w:rsid w:val="00657B5F"/>
    <w:rsid w:val="0066019B"/>
    <w:rsid w:val="00663ED2"/>
    <w:rsid w:val="0066480C"/>
    <w:rsid w:val="006713B2"/>
    <w:rsid w:val="00677F66"/>
    <w:rsid w:val="006A0487"/>
    <w:rsid w:val="006A30A3"/>
    <w:rsid w:val="006A7A7D"/>
    <w:rsid w:val="006B15EC"/>
    <w:rsid w:val="006B1D69"/>
    <w:rsid w:val="006B44A9"/>
    <w:rsid w:val="006B4B2A"/>
    <w:rsid w:val="006C10AD"/>
    <w:rsid w:val="006C2595"/>
    <w:rsid w:val="006C301B"/>
    <w:rsid w:val="006E101B"/>
    <w:rsid w:val="006E4C6D"/>
    <w:rsid w:val="006E732A"/>
    <w:rsid w:val="006F4A9F"/>
    <w:rsid w:val="006F4B9E"/>
    <w:rsid w:val="00701CD7"/>
    <w:rsid w:val="007026C8"/>
    <w:rsid w:val="00705512"/>
    <w:rsid w:val="00722299"/>
    <w:rsid w:val="0073086B"/>
    <w:rsid w:val="007316ED"/>
    <w:rsid w:val="007317BB"/>
    <w:rsid w:val="00732D70"/>
    <w:rsid w:val="00735AAC"/>
    <w:rsid w:val="0074030E"/>
    <w:rsid w:val="00746EDA"/>
    <w:rsid w:val="007478E9"/>
    <w:rsid w:val="00751ABF"/>
    <w:rsid w:val="00752A3B"/>
    <w:rsid w:val="00754660"/>
    <w:rsid w:val="00756059"/>
    <w:rsid w:val="0076558E"/>
    <w:rsid w:val="0077518C"/>
    <w:rsid w:val="00775C7C"/>
    <w:rsid w:val="00776B2D"/>
    <w:rsid w:val="007811D2"/>
    <w:rsid w:val="00787A5B"/>
    <w:rsid w:val="00790041"/>
    <w:rsid w:val="00793B4E"/>
    <w:rsid w:val="00794290"/>
    <w:rsid w:val="007B0F44"/>
    <w:rsid w:val="007B7BD2"/>
    <w:rsid w:val="007C2DAE"/>
    <w:rsid w:val="007C638B"/>
    <w:rsid w:val="007D07C3"/>
    <w:rsid w:val="007D24AD"/>
    <w:rsid w:val="007D4A0E"/>
    <w:rsid w:val="007D58E2"/>
    <w:rsid w:val="007E3C29"/>
    <w:rsid w:val="007E4902"/>
    <w:rsid w:val="007E5B48"/>
    <w:rsid w:val="007E7EE6"/>
    <w:rsid w:val="007F0451"/>
    <w:rsid w:val="007F2B18"/>
    <w:rsid w:val="007F49F0"/>
    <w:rsid w:val="00803EE5"/>
    <w:rsid w:val="008136CB"/>
    <w:rsid w:val="00823BC9"/>
    <w:rsid w:val="0082531B"/>
    <w:rsid w:val="0082689F"/>
    <w:rsid w:val="00831D24"/>
    <w:rsid w:val="0083247C"/>
    <w:rsid w:val="00833732"/>
    <w:rsid w:val="00837488"/>
    <w:rsid w:val="00840786"/>
    <w:rsid w:val="00842889"/>
    <w:rsid w:val="00843515"/>
    <w:rsid w:val="00843C02"/>
    <w:rsid w:val="008450C7"/>
    <w:rsid w:val="008522B0"/>
    <w:rsid w:val="0085689F"/>
    <w:rsid w:val="00860506"/>
    <w:rsid w:val="008612A9"/>
    <w:rsid w:val="00862F6B"/>
    <w:rsid w:val="00870586"/>
    <w:rsid w:val="00872B6D"/>
    <w:rsid w:val="0087355D"/>
    <w:rsid w:val="0087582A"/>
    <w:rsid w:val="00876E41"/>
    <w:rsid w:val="00881768"/>
    <w:rsid w:val="00884354"/>
    <w:rsid w:val="008848EE"/>
    <w:rsid w:val="008A112A"/>
    <w:rsid w:val="008A25EC"/>
    <w:rsid w:val="008A3219"/>
    <w:rsid w:val="008B182E"/>
    <w:rsid w:val="008B22AC"/>
    <w:rsid w:val="008B3111"/>
    <w:rsid w:val="008B4B4F"/>
    <w:rsid w:val="008C3C79"/>
    <w:rsid w:val="008C4531"/>
    <w:rsid w:val="008C4F40"/>
    <w:rsid w:val="008D0F7B"/>
    <w:rsid w:val="008D13CA"/>
    <w:rsid w:val="008E06DC"/>
    <w:rsid w:val="008F0C12"/>
    <w:rsid w:val="008F3BF1"/>
    <w:rsid w:val="008F7692"/>
    <w:rsid w:val="00910B0A"/>
    <w:rsid w:val="00913027"/>
    <w:rsid w:val="009137D6"/>
    <w:rsid w:val="00923F33"/>
    <w:rsid w:val="00924799"/>
    <w:rsid w:val="009361AD"/>
    <w:rsid w:val="00944695"/>
    <w:rsid w:val="00954C68"/>
    <w:rsid w:val="00956D9B"/>
    <w:rsid w:val="00957394"/>
    <w:rsid w:val="009600F2"/>
    <w:rsid w:val="0096048C"/>
    <w:rsid w:val="00964577"/>
    <w:rsid w:val="00964BFF"/>
    <w:rsid w:val="0097350A"/>
    <w:rsid w:val="0097360F"/>
    <w:rsid w:val="00980CC8"/>
    <w:rsid w:val="00980F98"/>
    <w:rsid w:val="0098210B"/>
    <w:rsid w:val="00985152"/>
    <w:rsid w:val="009A5C6D"/>
    <w:rsid w:val="009A5F3D"/>
    <w:rsid w:val="009B42F2"/>
    <w:rsid w:val="009B4DE5"/>
    <w:rsid w:val="009C085E"/>
    <w:rsid w:val="009C474A"/>
    <w:rsid w:val="009D38AE"/>
    <w:rsid w:val="009E0482"/>
    <w:rsid w:val="009E17C3"/>
    <w:rsid w:val="009E78DD"/>
    <w:rsid w:val="009F1931"/>
    <w:rsid w:val="009F32D5"/>
    <w:rsid w:val="009F47FF"/>
    <w:rsid w:val="00A01B0D"/>
    <w:rsid w:val="00A030D7"/>
    <w:rsid w:val="00A22A7E"/>
    <w:rsid w:val="00A237F0"/>
    <w:rsid w:val="00A352B6"/>
    <w:rsid w:val="00A4047B"/>
    <w:rsid w:val="00A4245B"/>
    <w:rsid w:val="00A44469"/>
    <w:rsid w:val="00A44B7A"/>
    <w:rsid w:val="00A55B51"/>
    <w:rsid w:val="00A644BE"/>
    <w:rsid w:val="00A66F44"/>
    <w:rsid w:val="00A67639"/>
    <w:rsid w:val="00A70E1E"/>
    <w:rsid w:val="00A71254"/>
    <w:rsid w:val="00A71DEE"/>
    <w:rsid w:val="00A73F4E"/>
    <w:rsid w:val="00A7476F"/>
    <w:rsid w:val="00A83012"/>
    <w:rsid w:val="00A8410B"/>
    <w:rsid w:val="00A93825"/>
    <w:rsid w:val="00A94073"/>
    <w:rsid w:val="00A95A01"/>
    <w:rsid w:val="00AA27B5"/>
    <w:rsid w:val="00AA2EB4"/>
    <w:rsid w:val="00AA3CAF"/>
    <w:rsid w:val="00AB2EBD"/>
    <w:rsid w:val="00AC1401"/>
    <w:rsid w:val="00AC5849"/>
    <w:rsid w:val="00AD1489"/>
    <w:rsid w:val="00AE102B"/>
    <w:rsid w:val="00AE1EE2"/>
    <w:rsid w:val="00AE4E0B"/>
    <w:rsid w:val="00AF125E"/>
    <w:rsid w:val="00AF47E3"/>
    <w:rsid w:val="00AF6788"/>
    <w:rsid w:val="00B02149"/>
    <w:rsid w:val="00B1325A"/>
    <w:rsid w:val="00B152DB"/>
    <w:rsid w:val="00B23AF3"/>
    <w:rsid w:val="00B255E4"/>
    <w:rsid w:val="00B400AC"/>
    <w:rsid w:val="00B429C2"/>
    <w:rsid w:val="00B51A8A"/>
    <w:rsid w:val="00B5550D"/>
    <w:rsid w:val="00B5612A"/>
    <w:rsid w:val="00B57BC4"/>
    <w:rsid w:val="00B60263"/>
    <w:rsid w:val="00B65A0C"/>
    <w:rsid w:val="00B7093F"/>
    <w:rsid w:val="00B71EE9"/>
    <w:rsid w:val="00B74A37"/>
    <w:rsid w:val="00B75102"/>
    <w:rsid w:val="00B75E2A"/>
    <w:rsid w:val="00B77041"/>
    <w:rsid w:val="00B80032"/>
    <w:rsid w:val="00B821B8"/>
    <w:rsid w:val="00B9082A"/>
    <w:rsid w:val="00B97D7C"/>
    <w:rsid w:val="00BA0D88"/>
    <w:rsid w:val="00BA274F"/>
    <w:rsid w:val="00BB045B"/>
    <w:rsid w:val="00BB0F46"/>
    <w:rsid w:val="00BB359C"/>
    <w:rsid w:val="00BC0AC1"/>
    <w:rsid w:val="00BD25CD"/>
    <w:rsid w:val="00BD2900"/>
    <w:rsid w:val="00BE0D8D"/>
    <w:rsid w:val="00BE5F6B"/>
    <w:rsid w:val="00BE735A"/>
    <w:rsid w:val="00BF345C"/>
    <w:rsid w:val="00C00C76"/>
    <w:rsid w:val="00C124E4"/>
    <w:rsid w:val="00C12E6E"/>
    <w:rsid w:val="00C130BE"/>
    <w:rsid w:val="00C163F2"/>
    <w:rsid w:val="00C1726B"/>
    <w:rsid w:val="00C23E4A"/>
    <w:rsid w:val="00C27745"/>
    <w:rsid w:val="00C27EDE"/>
    <w:rsid w:val="00C304E2"/>
    <w:rsid w:val="00C37F65"/>
    <w:rsid w:val="00C40436"/>
    <w:rsid w:val="00C453DC"/>
    <w:rsid w:val="00C4681F"/>
    <w:rsid w:val="00C46B50"/>
    <w:rsid w:val="00C63E4B"/>
    <w:rsid w:val="00C6797C"/>
    <w:rsid w:val="00C679B3"/>
    <w:rsid w:val="00C71E75"/>
    <w:rsid w:val="00C72202"/>
    <w:rsid w:val="00C74D46"/>
    <w:rsid w:val="00C80E95"/>
    <w:rsid w:val="00C83C1E"/>
    <w:rsid w:val="00C8463F"/>
    <w:rsid w:val="00C8722A"/>
    <w:rsid w:val="00C95252"/>
    <w:rsid w:val="00C96C8E"/>
    <w:rsid w:val="00CA45B4"/>
    <w:rsid w:val="00CA7BB8"/>
    <w:rsid w:val="00CC0EEE"/>
    <w:rsid w:val="00CC383A"/>
    <w:rsid w:val="00CC64D6"/>
    <w:rsid w:val="00CD162D"/>
    <w:rsid w:val="00CD3F85"/>
    <w:rsid w:val="00CD5B40"/>
    <w:rsid w:val="00CD7671"/>
    <w:rsid w:val="00CE10C2"/>
    <w:rsid w:val="00CE1BBE"/>
    <w:rsid w:val="00CE5213"/>
    <w:rsid w:val="00CE671A"/>
    <w:rsid w:val="00CF4AEA"/>
    <w:rsid w:val="00D025BD"/>
    <w:rsid w:val="00D07B9E"/>
    <w:rsid w:val="00D07BF9"/>
    <w:rsid w:val="00D10388"/>
    <w:rsid w:val="00D12C67"/>
    <w:rsid w:val="00D16562"/>
    <w:rsid w:val="00D1724D"/>
    <w:rsid w:val="00D20F1D"/>
    <w:rsid w:val="00D27DC4"/>
    <w:rsid w:val="00D3771F"/>
    <w:rsid w:val="00D419B2"/>
    <w:rsid w:val="00D448E6"/>
    <w:rsid w:val="00D4760A"/>
    <w:rsid w:val="00D6152B"/>
    <w:rsid w:val="00D61C08"/>
    <w:rsid w:val="00D63E0A"/>
    <w:rsid w:val="00D65235"/>
    <w:rsid w:val="00D671AF"/>
    <w:rsid w:val="00D72DF2"/>
    <w:rsid w:val="00D801FA"/>
    <w:rsid w:val="00D84F22"/>
    <w:rsid w:val="00D90E60"/>
    <w:rsid w:val="00D91D20"/>
    <w:rsid w:val="00D950A2"/>
    <w:rsid w:val="00D9769B"/>
    <w:rsid w:val="00DA2622"/>
    <w:rsid w:val="00DB6D29"/>
    <w:rsid w:val="00DC445F"/>
    <w:rsid w:val="00DC5C6C"/>
    <w:rsid w:val="00DD3CA1"/>
    <w:rsid w:val="00DD5CDF"/>
    <w:rsid w:val="00DD63A7"/>
    <w:rsid w:val="00DE378A"/>
    <w:rsid w:val="00DE61E7"/>
    <w:rsid w:val="00DF1808"/>
    <w:rsid w:val="00DF5BA9"/>
    <w:rsid w:val="00DF6EBF"/>
    <w:rsid w:val="00E049A3"/>
    <w:rsid w:val="00E05CAE"/>
    <w:rsid w:val="00E10298"/>
    <w:rsid w:val="00E109FA"/>
    <w:rsid w:val="00E1703F"/>
    <w:rsid w:val="00E24465"/>
    <w:rsid w:val="00E26887"/>
    <w:rsid w:val="00E26B99"/>
    <w:rsid w:val="00E272EE"/>
    <w:rsid w:val="00E31167"/>
    <w:rsid w:val="00E35CB8"/>
    <w:rsid w:val="00E40E7F"/>
    <w:rsid w:val="00E450AD"/>
    <w:rsid w:val="00E51ED4"/>
    <w:rsid w:val="00E600CB"/>
    <w:rsid w:val="00E637D7"/>
    <w:rsid w:val="00E645AB"/>
    <w:rsid w:val="00E64861"/>
    <w:rsid w:val="00E64961"/>
    <w:rsid w:val="00E730A7"/>
    <w:rsid w:val="00E73F82"/>
    <w:rsid w:val="00E74A1F"/>
    <w:rsid w:val="00E74FD2"/>
    <w:rsid w:val="00E760B2"/>
    <w:rsid w:val="00E80CB8"/>
    <w:rsid w:val="00E80DF4"/>
    <w:rsid w:val="00E91984"/>
    <w:rsid w:val="00EA1919"/>
    <w:rsid w:val="00EC1330"/>
    <w:rsid w:val="00EC3FBD"/>
    <w:rsid w:val="00EC4F30"/>
    <w:rsid w:val="00EC4FD9"/>
    <w:rsid w:val="00EE2C95"/>
    <w:rsid w:val="00EE6F29"/>
    <w:rsid w:val="00EF17D9"/>
    <w:rsid w:val="00EF32A6"/>
    <w:rsid w:val="00F05E93"/>
    <w:rsid w:val="00F1064E"/>
    <w:rsid w:val="00F13228"/>
    <w:rsid w:val="00F13707"/>
    <w:rsid w:val="00F14EC2"/>
    <w:rsid w:val="00F150B8"/>
    <w:rsid w:val="00F1654F"/>
    <w:rsid w:val="00F22657"/>
    <w:rsid w:val="00F4384D"/>
    <w:rsid w:val="00F44675"/>
    <w:rsid w:val="00F578E8"/>
    <w:rsid w:val="00F57B18"/>
    <w:rsid w:val="00F70E6C"/>
    <w:rsid w:val="00F7787A"/>
    <w:rsid w:val="00F91C41"/>
    <w:rsid w:val="00F97955"/>
    <w:rsid w:val="00FA18A5"/>
    <w:rsid w:val="00FA3EC2"/>
    <w:rsid w:val="00FA6301"/>
    <w:rsid w:val="00FA7888"/>
    <w:rsid w:val="00FC364F"/>
    <w:rsid w:val="00FD1534"/>
    <w:rsid w:val="00FD318F"/>
    <w:rsid w:val="00FD3634"/>
    <w:rsid w:val="00FD60EE"/>
    <w:rsid w:val="00FE3168"/>
    <w:rsid w:val="00FE47D6"/>
    <w:rsid w:val="00FE666E"/>
    <w:rsid w:val="00FE6895"/>
    <w:rsid w:val="00FF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8414A"/>
  <w15:chartTrackingRefBased/>
  <w15:docId w15:val="{593FC9E8-FE32-4A38-B3DC-4FB50C9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2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0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E60"/>
    <w:rPr>
      <w:rFonts w:ascii="Segoe UI" w:hAnsi="Segoe UI" w:cs="Segoe UI"/>
      <w:sz w:val="18"/>
      <w:szCs w:val="18"/>
    </w:rPr>
  </w:style>
  <w:style w:type="paragraph" w:styleId="Header">
    <w:name w:val="header"/>
    <w:basedOn w:val="Normal"/>
    <w:link w:val="HeaderChar"/>
    <w:uiPriority w:val="99"/>
    <w:unhideWhenUsed/>
    <w:rsid w:val="00151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E19"/>
  </w:style>
  <w:style w:type="paragraph" w:styleId="Footer">
    <w:name w:val="footer"/>
    <w:basedOn w:val="Normal"/>
    <w:link w:val="FooterChar"/>
    <w:uiPriority w:val="99"/>
    <w:unhideWhenUsed/>
    <w:rsid w:val="00151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E19"/>
  </w:style>
  <w:style w:type="paragraph" w:styleId="NoSpacing">
    <w:name w:val="No Spacing"/>
    <w:link w:val="NoSpacingChar"/>
    <w:uiPriority w:val="1"/>
    <w:qFormat/>
    <w:rsid w:val="00DF6EB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F6EBF"/>
    <w:rPr>
      <w:rFonts w:eastAsiaTheme="minorEastAsia"/>
      <w:lang w:val="en-US"/>
    </w:rPr>
  </w:style>
  <w:style w:type="paragraph" w:customStyle="1" w:styleId="TableText">
    <w:name w:val="Table Text"/>
    <w:basedOn w:val="Normal"/>
    <w:rsid w:val="00393785"/>
    <w:pPr>
      <w:spacing w:before="40" w:after="40" w:line="240" w:lineRule="auto"/>
    </w:pPr>
    <w:rPr>
      <w:rFonts w:ascii="Arial" w:eastAsia="Times New Roman" w:hAnsi="Arial" w:cs="Times New Roman"/>
      <w:b/>
    </w:rPr>
  </w:style>
  <w:style w:type="paragraph" w:styleId="Title">
    <w:name w:val="Title"/>
    <w:basedOn w:val="Normal"/>
    <w:link w:val="TitleChar"/>
    <w:qFormat/>
    <w:rsid w:val="0087582A"/>
    <w:pPr>
      <w:spacing w:after="0" w:line="240" w:lineRule="auto"/>
      <w:jc w:val="center"/>
    </w:pPr>
    <w:rPr>
      <w:rFonts w:ascii="Arial" w:eastAsia="Times New Roman" w:hAnsi="Arial" w:cs="Arial"/>
      <w:b/>
      <w:bCs/>
      <w:sz w:val="24"/>
      <w:szCs w:val="24"/>
      <w:lang w:eastAsia="en-GB"/>
    </w:rPr>
  </w:style>
  <w:style w:type="character" w:customStyle="1" w:styleId="TitleChar">
    <w:name w:val="Title Char"/>
    <w:basedOn w:val="DefaultParagraphFont"/>
    <w:link w:val="Title"/>
    <w:rsid w:val="0087582A"/>
    <w:rPr>
      <w:rFonts w:ascii="Arial" w:eastAsia="Times New Roman" w:hAnsi="Arial" w:cs="Arial"/>
      <w:b/>
      <w:bCs/>
      <w:sz w:val="24"/>
      <w:szCs w:val="24"/>
      <w:lang w:eastAsia="en-GB"/>
    </w:rPr>
  </w:style>
  <w:style w:type="paragraph" w:styleId="ListParagraph">
    <w:name w:val="List Paragraph"/>
    <w:basedOn w:val="Normal"/>
    <w:uiPriority w:val="99"/>
    <w:qFormat/>
    <w:rsid w:val="00204CF7"/>
    <w:pPr>
      <w:ind w:left="720"/>
      <w:contextualSpacing/>
    </w:pPr>
  </w:style>
  <w:style w:type="character" w:styleId="Hyperlink">
    <w:name w:val="Hyperlink"/>
    <w:basedOn w:val="DefaultParagraphFont"/>
    <w:uiPriority w:val="99"/>
    <w:unhideWhenUsed/>
    <w:rsid w:val="001378C1"/>
    <w:rPr>
      <w:color w:val="0563C1" w:themeColor="hyperlink"/>
      <w:u w:val="single"/>
    </w:rPr>
  </w:style>
  <w:style w:type="character" w:styleId="UnresolvedMention">
    <w:name w:val="Unresolved Mention"/>
    <w:basedOn w:val="DefaultParagraphFont"/>
    <w:uiPriority w:val="99"/>
    <w:semiHidden/>
    <w:unhideWhenUsed/>
    <w:rsid w:val="001378C1"/>
    <w:rPr>
      <w:color w:val="605E5C"/>
      <w:shd w:val="clear" w:color="auto" w:fill="E1DFDD"/>
    </w:rPr>
  </w:style>
  <w:style w:type="character" w:styleId="FollowedHyperlink">
    <w:name w:val="FollowedHyperlink"/>
    <w:basedOn w:val="DefaultParagraphFont"/>
    <w:uiPriority w:val="99"/>
    <w:semiHidden/>
    <w:unhideWhenUsed/>
    <w:rsid w:val="004D3208"/>
    <w:rPr>
      <w:color w:val="954F72" w:themeColor="followedHyperlink"/>
      <w:u w:val="single"/>
    </w:rPr>
  </w:style>
  <w:style w:type="character" w:styleId="CommentReference">
    <w:name w:val="annotation reference"/>
    <w:basedOn w:val="DefaultParagraphFont"/>
    <w:uiPriority w:val="99"/>
    <w:semiHidden/>
    <w:unhideWhenUsed/>
    <w:rsid w:val="00F57B18"/>
    <w:rPr>
      <w:sz w:val="16"/>
      <w:szCs w:val="16"/>
    </w:rPr>
  </w:style>
  <w:style w:type="paragraph" w:styleId="CommentText">
    <w:name w:val="annotation text"/>
    <w:basedOn w:val="Normal"/>
    <w:link w:val="CommentTextChar"/>
    <w:uiPriority w:val="99"/>
    <w:semiHidden/>
    <w:unhideWhenUsed/>
    <w:rsid w:val="00F57B18"/>
    <w:pPr>
      <w:spacing w:line="240" w:lineRule="auto"/>
    </w:pPr>
    <w:rPr>
      <w:sz w:val="20"/>
      <w:szCs w:val="20"/>
    </w:rPr>
  </w:style>
  <w:style w:type="character" w:customStyle="1" w:styleId="CommentTextChar">
    <w:name w:val="Comment Text Char"/>
    <w:basedOn w:val="DefaultParagraphFont"/>
    <w:link w:val="CommentText"/>
    <w:uiPriority w:val="99"/>
    <w:semiHidden/>
    <w:rsid w:val="00F57B18"/>
    <w:rPr>
      <w:sz w:val="20"/>
      <w:szCs w:val="20"/>
    </w:rPr>
  </w:style>
  <w:style w:type="paragraph" w:styleId="CommentSubject">
    <w:name w:val="annotation subject"/>
    <w:basedOn w:val="CommentText"/>
    <w:next w:val="CommentText"/>
    <w:link w:val="CommentSubjectChar"/>
    <w:uiPriority w:val="99"/>
    <w:semiHidden/>
    <w:unhideWhenUsed/>
    <w:rsid w:val="00F57B18"/>
    <w:rPr>
      <w:b/>
      <w:bCs/>
    </w:rPr>
  </w:style>
  <w:style w:type="character" w:customStyle="1" w:styleId="CommentSubjectChar">
    <w:name w:val="Comment Subject Char"/>
    <w:basedOn w:val="CommentTextChar"/>
    <w:link w:val="CommentSubject"/>
    <w:uiPriority w:val="99"/>
    <w:semiHidden/>
    <w:rsid w:val="00F57B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694347">
      <w:bodyDiv w:val="1"/>
      <w:marLeft w:val="0"/>
      <w:marRight w:val="0"/>
      <w:marTop w:val="0"/>
      <w:marBottom w:val="0"/>
      <w:divBdr>
        <w:top w:val="none" w:sz="0" w:space="0" w:color="auto"/>
        <w:left w:val="none" w:sz="0" w:space="0" w:color="auto"/>
        <w:bottom w:val="none" w:sz="0" w:space="0" w:color="auto"/>
        <w:right w:val="none" w:sz="0" w:space="0" w:color="auto"/>
      </w:divBdr>
    </w:div>
    <w:div w:id="159870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file:///C:\Users\dxjones\AppData\Local\Microsoft\Windows\INetCache\Content.Word\HRP%20Invite.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SXJZJSQ2YJM5-499006958-3411799</_dlc_DocId>
    <_dlc_DocIdUrl xmlns="14ef3b5f-6ca1-4c1c-a353-a1c338ccc666">
      <Url>https://antsertech.sharepoint.com/sites/TriXData2/_layouts/15/DocIdRedir.aspx?ID=SXJZJSQ2YJM5-499006958-3411799</Url>
      <Description>SXJZJSQ2YJM5-499006958-3411799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9F176D-B643-45D1-B2FB-6FE51EED0B43}"/>
</file>

<file path=customXml/itemProps2.xml><?xml version="1.0" encoding="utf-8"?>
<ds:datastoreItem xmlns:ds="http://schemas.openxmlformats.org/officeDocument/2006/customXml" ds:itemID="{970F1EEB-9043-4DE9-A202-8D6F939B96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75C31E-77BD-453B-B6F3-8006069D40CB}">
  <ds:schemaRefs>
    <ds:schemaRef ds:uri="http://schemas.microsoft.com/sharepoint/v3/contenttype/forms"/>
  </ds:schemaRefs>
</ds:datastoreItem>
</file>

<file path=customXml/itemProps4.xml><?xml version="1.0" encoding="utf-8"?>
<ds:datastoreItem xmlns:ds="http://schemas.openxmlformats.org/officeDocument/2006/customXml" ds:itemID="{5C4A44FE-A257-4259-819B-3DFFB57873FA}">
  <ds:schemaRefs>
    <ds:schemaRef ds:uri="http://schemas.openxmlformats.org/officeDocument/2006/bibliography"/>
  </ds:schemaRefs>
</ds:datastoreItem>
</file>

<file path=customXml/itemProps5.xml><?xml version="1.0" encoding="utf-8"?>
<ds:datastoreItem xmlns:ds="http://schemas.openxmlformats.org/officeDocument/2006/customXml" ds:itemID="{14176703-5F5C-4754-BDEC-C73A629608BB}"/>
</file>

<file path=docProps/app.xml><?xml version="1.0" encoding="utf-8"?>
<Properties xmlns="http://schemas.openxmlformats.org/officeDocument/2006/extended-properties" xmlns:vt="http://schemas.openxmlformats.org/officeDocument/2006/docPropsVTypes">
  <Template>Normal</Template>
  <TotalTime>5</TotalTime>
  <Pages>9</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Griggs</dc:creator>
  <cp:keywords/>
  <dc:description/>
  <cp:lastModifiedBy>Mark Dalton</cp:lastModifiedBy>
  <cp:revision>2</cp:revision>
  <dcterms:created xsi:type="dcterms:W3CDTF">2021-10-25T15:54:00Z</dcterms:created>
  <dcterms:modified xsi:type="dcterms:W3CDTF">2021-11-12T09:33:00Z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_dlc_DocIdItemGuid">
    <vt:lpwstr>5652e829-9649-4928-8b71-d74044ce14f7</vt:lpwstr>
  </property>
</Properties>
</file>