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825F" w14:textId="4A978ED4" w:rsidR="00AE57CC" w:rsidRDefault="008F04F1">
      <w:hyperlink r:id="rId4" w:history="1">
        <w:r w:rsidRPr="00C4546D">
          <w:rPr>
            <w:rStyle w:val="Hyperlink"/>
          </w:rPr>
          <w:t>https://www.gov.uk/government/publications/multi-agency-public-protection-arrangements-mappa-guidance</w:t>
        </w:r>
      </w:hyperlink>
      <w:r>
        <w:t xml:space="preserve"> </w:t>
      </w:r>
    </w:p>
    <w:sectPr w:rsidR="00AE5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9D"/>
    <w:rsid w:val="0051779D"/>
    <w:rsid w:val="008F04F1"/>
    <w:rsid w:val="00A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91B4"/>
  <w15:chartTrackingRefBased/>
  <w15:docId w15:val="{71F8E00E-7644-4917-B843-8FD186E2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multi-agency-public-protection-arrangements-mappa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Deborah</dc:creator>
  <cp:keywords/>
  <dc:description/>
  <cp:lastModifiedBy>Hope, Deborah</cp:lastModifiedBy>
  <cp:revision>2</cp:revision>
  <dcterms:created xsi:type="dcterms:W3CDTF">2023-10-12T13:59:00Z</dcterms:created>
  <dcterms:modified xsi:type="dcterms:W3CDTF">2023-10-12T13:59:00Z</dcterms:modified>
</cp:coreProperties>
</file>