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E9" w:rsidRPr="007B6A8E" w:rsidRDefault="00C061E9" w:rsidP="00C061E9">
      <w:pPr>
        <w:jc w:val="right"/>
        <w:rPr>
          <w:b/>
        </w:rPr>
      </w:pPr>
      <w:bookmarkStart w:id="0" w:name="_GoBack"/>
      <w:r>
        <w:rPr>
          <w:b/>
        </w:rPr>
        <w:t>Appendix 1</w:t>
      </w:r>
    </w:p>
    <w:p w:rsidR="00C061E9" w:rsidRDefault="00C061E9" w:rsidP="00C061E9">
      <w:r>
        <w:rPr>
          <w:b/>
        </w:rPr>
        <w:t>ACTIVITIES / SERVICES AROUND TRANSITION – By Organisation / By Yearly Cohort</w:t>
      </w:r>
    </w:p>
    <w:bookmarkEnd w:id="0"/>
    <w:p w:rsidR="00C061E9" w:rsidRPr="006A3B39" w:rsidRDefault="00C061E9" w:rsidP="00C061E9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1417"/>
        <w:gridCol w:w="1559"/>
        <w:gridCol w:w="2726"/>
      </w:tblGrid>
      <w:tr w:rsidR="00C061E9" w:rsidTr="008837D5">
        <w:tc>
          <w:tcPr>
            <w:tcW w:w="2093" w:type="dxa"/>
          </w:tcPr>
          <w:p w:rsidR="00C061E9" w:rsidRPr="00B55D40" w:rsidRDefault="00C061E9" w:rsidP="008837D5">
            <w:pPr>
              <w:rPr>
                <w:b/>
              </w:rPr>
            </w:pPr>
            <w:r>
              <w:rPr>
                <w:b/>
              </w:rPr>
              <w:t>Young Person’s Year Group</w:t>
            </w:r>
          </w:p>
        </w:tc>
        <w:tc>
          <w:tcPr>
            <w:tcW w:w="6379" w:type="dxa"/>
          </w:tcPr>
          <w:p w:rsidR="00C061E9" w:rsidRPr="00D66493" w:rsidRDefault="00C061E9" w:rsidP="008837D5">
            <w:pPr>
              <w:rPr>
                <w:b/>
              </w:rPr>
            </w:pPr>
            <w:r w:rsidRPr="00D66493">
              <w:rPr>
                <w:b/>
              </w:rPr>
              <w:t>Activity</w:t>
            </w:r>
          </w:p>
        </w:tc>
        <w:tc>
          <w:tcPr>
            <w:tcW w:w="1417" w:type="dxa"/>
          </w:tcPr>
          <w:p w:rsidR="00C061E9" w:rsidRPr="00D66493" w:rsidRDefault="00C061E9" w:rsidP="008837D5">
            <w:pPr>
              <w:rPr>
                <w:b/>
              </w:rPr>
            </w:pPr>
            <w:r w:rsidRPr="00D66493">
              <w:rPr>
                <w:b/>
              </w:rPr>
              <w:t>YP with EHCs</w:t>
            </w:r>
          </w:p>
        </w:tc>
        <w:tc>
          <w:tcPr>
            <w:tcW w:w="1559" w:type="dxa"/>
          </w:tcPr>
          <w:p w:rsidR="00C061E9" w:rsidRPr="00B55D40" w:rsidRDefault="00C061E9" w:rsidP="008837D5">
            <w:pPr>
              <w:rPr>
                <w:b/>
              </w:rPr>
            </w:pPr>
            <w:r>
              <w:rPr>
                <w:b/>
              </w:rPr>
              <w:t>YP without EHCs</w:t>
            </w:r>
          </w:p>
        </w:tc>
        <w:tc>
          <w:tcPr>
            <w:tcW w:w="2726" w:type="dxa"/>
          </w:tcPr>
          <w:p w:rsidR="00C061E9" w:rsidRPr="00B55D40" w:rsidRDefault="00C061E9" w:rsidP="008837D5">
            <w:pPr>
              <w:rPr>
                <w:b/>
              </w:rPr>
            </w:pPr>
            <w:r>
              <w:rPr>
                <w:b/>
              </w:rPr>
              <w:t>Lead Organisation / Team</w:t>
            </w:r>
          </w:p>
        </w:tc>
      </w:tr>
      <w:tr w:rsidR="00C061E9" w:rsidTr="008837D5">
        <w:tc>
          <w:tcPr>
            <w:tcW w:w="2093" w:type="dxa"/>
          </w:tcPr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Year 8</w:t>
            </w: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(12-13yrs)</w:t>
            </w:r>
          </w:p>
        </w:tc>
        <w:tc>
          <w:tcPr>
            <w:tcW w:w="6379" w:type="dxa"/>
          </w:tcPr>
          <w:p w:rsidR="00C061E9" w:rsidRDefault="00C061E9" w:rsidP="00C061E9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Schools hold Annual Review (SEN team only attend if specific issues arise)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SEN Team RAG and process post review meeting documents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Mass transfer of Year 8 data for all children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DCT involved and proactive in attending Reviews for open cases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Background information to be provided to young people about adult provision</w:t>
            </w:r>
          </w:p>
        </w:tc>
        <w:tc>
          <w:tcPr>
            <w:tcW w:w="1417" w:type="dxa"/>
          </w:tcPr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</w:tc>
        <w:tc>
          <w:tcPr>
            <w:tcW w:w="1559" w:type="dxa"/>
          </w:tcPr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</w:tc>
        <w:tc>
          <w:tcPr>
            <w:tcW w:w="2726" w:type="dxa"/>
          </w:tcPr>
          <w:p w:rsidR="00C061E9" w:rsidRDefault="00C061E9" w:rsidP="008837D5">
            <w:r>
              <w:t>Schools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DCT</w:t>
            </w:r>
          </w:p>
          <w:p w:rsidR="00C061E9" w:rsidRDefault="00C061E9" w:rsidP="008837D5"/>
          <w:p w:rsidR="00C061E9" w:rsidRDefault="00C061E9" w:rsidP="008837D5">
            <w:r>
              <w:t>Local Offer Team &amp;  Calderdale Parent and Carers</w:t>
            </w:r>
          </w:p>
        </w:tc>
      </w:tr>
      <w:tr w:rsidR="00C061E9" w:rsidTr="008837D5">
        <w:tc>
          <w:tcPr>
            <w:tcW w:w="2093" w:type="dxa"/>
          </w:tcPr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Year 9</w:t>
            </w: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(13-14yrs)</w:t>
            </w:r>
          </w:p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KS3</w:t>
            </w:r>
          </w:p>
        </w:tc>
        <w:tc>
          <w:tcPr>
            <w:tcW w:w="6379" w:type="dxa"/>
          </w:tcPr>
          <w:p w:rsidR="00C061E9" w:rsidRDefault="00C061E9" w:rsidP="00C061E9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Schools informed of Annual Review dates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Meeting with young person prior to review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Annual review meeting arranged and reports posted out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Aspirations identified at Annual Review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A transition plan must be produced for young people following the Annual Review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3"/>
              </w:numPr>
              <w:contextualSpacing/>
            </w:pPr>
            <w:r>
              <w:t>EHC Transfer process – 14 week (begins 2 weeks prior to review date)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RAG review documentation to highlight potential issues for future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Early October list sent from SEN team to C&amp;K Careers of all young people with an EHC/Statement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Specialist LDD Team write introductory letter to parent/carers of children with EHC Plan/Statement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lastRenderedPageBreak/>
              <w:t>Careers Advisor attends every Year 9 Review of children with a EHC Plan/Statement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DCT involved when case allocated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Background information to be provided to young people about adult provision</w:t>
            </w:r>
          </w:p>
          <w:p w:rsidR="00C061E9" w:rsidRDefault="00C061E9" w:rsidP="008837D5">
            <w:pPr>
              <w:pStyle w:val="ListParagraph"/>
              <w:ind w:left="360"/>
            </w:pPr>
          </w:p>
          <w:p w:rsidR="00C061E9" w:rsidRDefault="00C061E9" w:rsidP="008837D5">
            <w:pPr>
              <w:pStyle w:val="ListParagraph"/>
              <w:ind w:left="360"/>
            </w:pP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Provide Adults Services with a clear picture about young people and their likely needs and the kinds of support they may require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Send list of young people with EHCs/Statements to Adult Services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4"/>
              </w:numPr>
              <w:contextualSpacing/>
            </w:pPr>
            <w:r>
              <w:t>Focus on Reviews where they can have an impact</w:t>
            </w:r>
          </w:p>
        </w:tc>
        <w:tc>
          <w:tcPr>
            <w:tcW w:w="1417" w:type="dxa"/>
          </w:tcPr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/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</w:tc>
        <w:tc>
          <w:tcPr>
            <w:tcW w:w="1559" w:type="dxa"/>
          </w:tcPr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</w:tc>
        <w:tc>
          <w:tcPr>
            <w:tcW w:w="2726" w:type="dxa"/>
          </w:tcPr>
          <w:p w:rsidR="00C061E9" w:rsidRDefault="00C061E9" w:rsidP="008837D5">
            <w:r>
              <w:lastRenderedPageBreak/>
              <w:t>SEN Team</w:t>
            </w:r>
          </w:p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Schools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lastRenderedPageBreak/>
              <w:t>C&amp;K Careers</w:t>
            </w:r>
          </w:p>
          <w:p w:rsidR="00C061E9" w:rsidRDefault="00C061E9" w:rsidP="008837D5"/>
          <w:p w:rsidR="00C061E9" w:rsidRDefault="00C061E9" w:rsidP="008837D5">
            <w:r>
              <w:t>DCT Team</w:t>
            </w:r>
          </w:p>
          <w:p w:rsidR="00C061E9" w:rsidRDefault="00C061E9" w:rsidP="008837D5">
            <w:r>
              <w:t>Local Offer Team / Calderdale Parents and Carers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</w:tc>
      </w:tr>
      <w:tr w:rsidR="00C061E9" w:rsidTr="008837D5">
        <w:tc>
          <w:tcPr>
            <w:tcW w:w="2093" w:type="dxa"/>
          </w:tcPr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Year 10 (14-15yrs)</w:t>
            </w:r>
          </w:p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</w:p>
        </w:tc>
        <w:tc>
          <w:tcPr>
            <w:tcW w:w="6379" w:type="dxa"/>
          </w:tcPr>
          <w:p w:rsidR="00C061E9" w:rsidRDefault="00C061E9" w:rsidP="00C061E9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Organise and hold Annual Review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RAG review documents post meeting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Attend Review – only if required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Involved when case allocated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Background information to be provided to young people about adult provision</w:t>
            </w:r>
          </w:p>
          <w:p w:rsidR="00C061E9" w:rsidRDefault="00C061E9" w:rsidP="008837D5">
            <w:pPr>
              <w:pStyle w:val="ListParagraph"/>
              <w:ind w:left="360"/>
            </w:pPr>
          </w:p>
          <w:p w:rsidR="00C061E9" w:rsidRDefault="00C061E9" w:rsidP="00C061E9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Update list for Adult Services about young people and their likely needs and the kinds of support they will require</w:t>
            </w:r>
          </w:p>
          <w:p w:rsidR="00C061E9" w:rsidRDefault="00C061E9" w:rsidP="008837D5"/>
        </w:tc>
        <w:tc>
          <w:tcPr>
            <w:tcW w:w="1417" w:type="dxa"/>
          </w:tcPr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</w:tc>
        <w:tc>
          <w:tcPr>
            <w:tcW w:w="1559" w:type="dxa"/>
          </w:tcPr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</w:tc>
        <w:tc>
          <w:tcPr>
            <w:tcW w:w="2726" w:type="dxa"/>
          </w:tcPr>
          <w:p w:rsidR="00C061E9" w:rsidRDefault="00C061E9" w:rsidP="008837D5">
            <w:r>
              <w:t>School</w:t>
            </w:r>
          </w:p>
          <w:p w:rsidR="00C061E9" w:rsidRDefault="00C061E9" w:rsidP="008837D5">
            <w:r>
              <w:t>SEN Team</w:t>
            </w:r>
          </w:p>
          <w:p w:rsidR="00C061E9" w:rsidRDefault="00C061E9" w:rsidP="008837D5">
            <w:r>
              <w:t>C&amp;K Careers</w:t>
            </w:r>
          </w:p>
          <w:p w:rsidR="00C061E9" w:rsidRDefault="00C061E9" w:rsidP="008837D5">
            <w:r>
              <w:t>DCT</w:t>
            </w:r>
          </w:p>
          <w:p w:rsidR="00C061E9" w:rsidRDefault="00C061E9" w:rsidP="008837D5">
            <w:r>
              <w:t>Local Offer Team / Calderdale Parent and Carers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</w:tc>
      </w:tr>
      <w:tr w:rsidR="00C061E9" w:rsidTr="008837D5">
        <w:tc>
          <w:tcPr>
            <w:tcW w:w="2093" w:type="dxa"/>
          </w:tcPr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Year 11 (15-16yrs)</w:t>
            </w:r>
          </w:p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KS4</w:t>
            </w:r>
          </w:p>
        </w:tc>
        <w:tc>
          <w:tcPr>
            <w:tcW w:w="6379" w:type="dxa"/>
          </w:tcPr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Organise and hold Annual Review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Meet and produce careers summary prior to review meeting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Attend Annual Review meeting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 xml:space="preserve">Discussion around post 16 placement 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lastRenderedPageBreak/>
              <w:t>EHC Transfer process as year 9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Post 16 placement to be named in EHC plan by March 31</w:t>
            </w:r>
            <w:r w:rsidRPr="00D66493">
              <w:rPr>
                <w:vertAlign w:val="superscript"/>
              </w:rPr>
              <w:t>st</w:t>
            </w:r>
            <w:r>
              <w:t xml:space="preserve"> 2016 onwards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Attend every Review of children who have a EHC plan/Statement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Involved when case allocated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 xml:space="preserve">Obtain information through from AHSC social workers, CSC social workers, Pathways team </w:t>
            </w:r>
            <w:proofErr w:type="spellStart"/>
            <w:r>
              <w:t>etc</w:t>
            </w:r>
            <w:proofErr w:type="spellEnd"/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Discussion re potential residential college application in order to identify early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Identify young people who may require adult social care assessments</w:t>
            </w:r>
          </w:p>
          <w:p w:rsidR="00C061E9" w:rsidRDefault="00C061E9" w:rsidP="008837D5">
            <w:pPr>
              <w:pStyle w:val="ListParagraph"/>
              <w:ind w:left="360"/>
            </w:pP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Co-ordination of Pathway Plans for CLA aged 15.5yrs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Background information to be provided to young people about adult provision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Detailed picture of accommodation needs is required, especially where there are specialist needs around adaptations or specialist provider support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6"/>
              </w:numPr>
              <w:contextualSpacing/>
            </w:pPr>
            <w:r>
              <w:t>A picture of people’s educational, employment and social aspirations would help inform work with providers re strong local offer.  Summaries from EHC plans/Statement to help inform broad commissioning intentions</w:t>
            </w:r>
          </w:p>
        </w:tc>
        <w:tc>
          <w:tcPr>
            <w:tcW w:w="1417" w:type="dxa"/>
          </w:tcPr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</w:tc>
        <w:tc>
          <w:tcPr>
            <w:tcW w:w="1559" w:type="dxa"/>
          </w:tcPr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/>
        </w:tc>
        <w:tc>
          <w:tcPr>
            <w:tcW w:w="2726" w:type="dxa"/>
          </w:tcPr>
          <w:p w:rsidR="00C061E9" w:rsidRDefault="00C061E9" w:rsidP="008837D5">
            <w:r>
              <w:lastRenderedPageBreak/>
              <w:t>School</w:t>
            </w:r>
          </w:p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>
            <w:r>
              <w:t>SEN Team</w:t>
            </w:r>
          </w:p>
          <w:p w:rsidR="00C061E9" w:rsidRDefault="00C061E9" w:rsidP="008837D5">
            <w:r>
              <w:lastRenderedPageBreak/>
              <w:t>SEN Team</w:t>
            </w:r>
          </w:p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DCT</w:t>
            </w:r>
          </w:p>
          <w:p w:rsidR="00C061E9" w:rsidRDefault="00C061E9" w:rsidP="008837D5"/>
          <w:p w:rsidR="00C061E9" w:rsidRDefault="00C061E9" w:rsidP="008837D5">
            <w:r>
              <w:t>Adult Services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>
            <w:r>
              <w:t>SEN Team liaising with School/Pathways Team</w:t>
            </w:r>
          </w:p>
          <w:p w:rsidR="00C061E9" w:rsidRDefault="00C061E9" w:rsidP="008837D5"/>
          <w:p w:rsidR="00C061E9" w:rsidRDefault="00C061E9" w:rsidP="008837D5">
            <w:r>
              <w:t>Pathways Team</w:t>
            </w:r>
          </w:p>
          <w:p w:rsidR="00C061E9" w:rsidRDefault="00C061E9" w:rsidP="008837D5"/>
          <w:p w:rsidR="00C061E9" w:rsidRDefault="00C061E9" w:rsidP="008837D5">
            <w:r>
              <w:t>Local Offer Team</w:t>
            </w:r>
          </w:p>
          <w:p w:rsidR="00C061E9" w:rsidRDefault="00C061E9" w:rsidP="008837D5"/>
          <w:p w:rsidR="00C061E9" w:rsidRDefault="00C061E9" w:rsidP="008837D5">
            <w:r>
              <w:t>SEN / Adult Services</w:t>
            </w:r>
          </w:p>
          <w:p w:rsidR="00C061E9" w:rsidRDefault="00C061E9" w:rsidP="008837D5"/>
          <w:p w:rsidR="00C061E9" w:rsidRDefault="00C061E9" w:rsidP="008837D5"/>
          <w:p w:rsidR="00C061E9" w:rsidRDefault="00C061E9" w:rsidP="008837D5">
            <w:r>
              <w:t>SEN / Adult Services</w:t>
            </w:r>
          </w:p>
        </w:tc>
      </w:tr>
      <w:tr w:rsidR="00C061E9" w:rsidTr="008837D5">
        <w:tc>
          <w:tcPr>
            <w:tcW w:w="2093" w:type="dxa"/>
          </w:tcPr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Year 12</w:t>
            </w: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(16-17yrs)</w:t>
            </w:r>
          </w:p>
        </w:tc>
        <w:tc>
          <w:tcPr>
            <w:tcW w:w="6379" w:type="dxa"/>
          </w:tcPr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Organise and hold Annual Review for those on EHC plans/Statements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Meet and produce careers summary prior to review meeting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Discussion around placement and progression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EHC Transfer process for young people with 139a/LDA document as in year 9 (2016)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lastRenderedPageBreak/>
              <w:t>Post 16 placements to be named in EHC plan by March 31</w:t>
            </w:r>
            <w:r w:rsidRPr="00D66493">
              <w:rPr>
                <w:vertAlign w:val="superscript"/>
              </w:rPr>
              <w:t>st</w:t>
            </w:r>
            <w:r>
              <w:t xml:space="preserve"> 2016 onwards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 xml:space="preserve">EHC Transfer process for young people moving provision </w:t>
            </w:r>
            <w:proofErr w:type="spellStart"/>
            <w:r>
              <w:t>ie</w:t>
            </w:r>
            <w:proofErr w:type="spellEnd"/>
            <w:r>
              <w:t xml:space="preserve"> school to college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C&amp;K Careers do not attend every Review – only if required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Involved when case allocated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Discussion re potential residential college application in order to identify early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Identify young people who may require adult social care assessments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Background information to be provided to young people about adult provision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1"/>
              </w:numPr>
              <w:ind w:left="317" w:hanging="283"/>
              <w:contextualSpacing/>
            </w:pPr>
            <w:r>
              <w:t>Detailed work with young people and families to plan moves and shape accommodation</w:t>
            </w:r>
          </w:p>
          <w:p w:rsidR="00C061E9" w:rsidRDefault="00C061E9" w:rsidP="008837D5">
            <w:pPr>
              <w:pStyle w:val="ListParagraph"/>
              <w:ind w:left="317"/>
            </w:pPr>
          </w:p>
        </w:tc>
        <w:tc>
          <w:tcPr>
            <w:tcW w:w="1417" w:type="dxa"/>
          </w:tcPr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/>
        </w:tc>
        <w:tc>
          <w:tcPr>
            <w:tcW w:w="1559" w:type="dxa"/>
          </w:tcPr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</w:tc>
        <w:tc>
          <w:tcPr>
            <w:tcW w:w="2726" w:type="dxa"/>
          </w:tcPr>
          <w:p w:rsidR="00C061E9" w:rsidRDefault="00C061E9" w:rsidP="008837D5">
            <w:r>
              <w:lastRenderedPageBreak/>
              <w:t>School/College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SEN Team / School / College</w:t>
            </w:r>
          </w:p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N/A</w:t>
            </w:r>
          </w:p>
          <w:p w:rsidR="00C061E9" w:rsidRDefault="00C061E9" w:rsidP="008837D5"/>
          <w:p w:rsidR="00C061E9" w:rsidRDefault="00C061E9" w:rsidP="008837D5">
            <w:r>
              <w:t>DCT</w:t>
            </w:r>
          </w:p>
          <w:p w:rsidR="00C061E9" w:rsidRDefault="00C061E9" w:rsidP="008837D5">
            <w:r>
              <w:t>Adults / SEN Team</w:t>
            </w:r>
          </w:p>
          <w:p w:rsidR="00C061E9" w:rsidRDefault="00C061E9" w:rsidP="008837D5"/>
          <w:p w:rsidR="00C061E9" w:rsidRDefault="00C061E9" w:rsidP="008837D5"/>
          <w:p w:rsidR="00C061E9" w:rsidRDefault="00C061E9" w:rsidP="008837D5">
            <w:r>
              <w:t>SEN and School</w:t>
            </w:r>
          </w:p>
          <w:p w:rsidR="00C061E9" w:rsidRDefault="00C061E9" w:rsidP="008837D5"/>
          <w:p w:rsidR="00C061E9" w:rsidRDefault="00C061E9" w:rsidP="008837D5">
            <w:r>
              <w:t>Local Offer Team</w:t>
            </w:r>
          </w:p>
          <w:p w:rsidR="00C061E9" w:rsidRDefault="00C061E9" w:rsidP="008837D5"/>
          <w:p w:rsidR="00C061E9" w:rsidRDefault="00C061E9" w:rsidP="008837D5">
            <w:r>
              <w:t>SEN Team and Adults</w:t>
            </w:r>
          </w:p>
        </w:tc>
      </w:tr>
      <w:tr w:rsidR="00C061E9" w:rsidTr="008837D5">
        <w:tc>
          <w:tcPr>
            <w:tcW w:w="2093" w:type="dxa"/>
          </w:tcPr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Year 13 (17-18yrs)</w:t>
            </w:r>
          </w:p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Sixth forms</w:t>
            </w:r>
          </w:p>
          <w:p w:rsidR="00C061E9" w:rsidRDefault="00C061E9" w:rsidP="008837D5">
            <w:pPr>
              <w:rPr>
                <w:b/>
              </w:rPr>
            </w:pPr>
          </w:p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t>DCT STOPS</w:t>
            </w:r>
          </w:p>
        </w:tc>
        <w:tc>
          <w:tcPr>
            <w:tcW w:w="6379" w:type="dxa"/>
          </w:tcPr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Organise and hold Annual Reviews for those on EHC plans/Statements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Meet and produce careers summary prior to review meeting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Discussion around placement and progression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EHC Transfer process for young people with 139a/LDA document as in year 9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Post 16 placements to be named in EHC plan by March 31</w:t>
            </w:r>
            <w:r w:rsidRPr="00D66493">
              <w:rPr>
                <w:vertAlign w:val="superscript"/>
              </w:rPr>
              <w:t>st</w:t>
            </w:r>
            <w:r>
              <w:t xml:space="preserve"> 2016 onwards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 xml:space="preserve">EHC Transfer process for young people moving provision </w:t>
            </w:r>
            <w:proofErr w:type="spellStart"/>
            <w:r>
              <w:t>ie</w:t>
            </w:r>
            <w:proofErr w:type="spellEnd"/>
            <w:r>
              <w:t xml:space="preserve"> school to college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Attend every Review of children who have a EHC/Statement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 xml:space="preserve">Attend </w:t>
            </w:r>
            <w:proofErr w:type="spellStart"/>
            <w:r>
              <w:t>Ravenscliffe</w:t>
            </w:r>
            <w:proofErr w:type="spellEnd"/>
            <w:r>
              <w:t xml:space="preserve"> Reviews if required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Involved when case allocated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lastRenderedPageBreak/>
              <w:t>Invited to some school Reviews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Information required on those who definitely need accommodation or social care placement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Time spent with social workers and families to plan appropriate support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Future needs collated through AHSC accommodation meetings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Discussion re potential residential college application in order to identify early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SEN and school to identify young people who may require adult social care assessments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Background information to be provided to young people about adult provision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Earlier notification regarding residential college requests and intentions</w:t>
            </w:r>
          </w:p>
          <w:p w:rsidR="00C061E9" w:rsidRDefault="00C061E9" w:rsidP="008837D5"/>
        </w:tc>
        <w:tc>
          <w:tcPr>
            <w:tcW w:w="1417" w:type="dxa"/>
          </w:tcPr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</w:tc>
        <w:tc>
          <w:tcPr>
            <w:tcW w:w="1559" w:type="dxa"/>
          </w:tcPr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/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/>
          <w:p w:rsidR="00C061E9" w:rsidRDefault="00C061E9" w:rsidP="008837D5"/>
        </w:tc>
        <w:tc>
          <w:tcPr>
            <w:tcW w:w="2726" w:type="dxa"/>
          </w:tcPr>
          <w:p w:rsidR="00C061E9" w:rsidRDefault="00C061E9" w:rsidP="008837D5">
            <w:r>
              <w:lastRenderedPageBreak/>
              <w:t>School or College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>
            <w:r>
              <w:t>DCT</w:t>
            </w:r>
          </w:p>
          <w:p w:rsidR="00C061E9" w:rsidRDefault="00C061E9" w:rsidP="008837D5">
            <w:r>
              <w:lastRenderedPageBreak/>
              <w:t>Adult Services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Adult Services</w:t>
            </w:r>
          </w:p>
          <w:p w:rsidR="00C061E9" w:rsidRDefault="00C061E9" w:rsidP="008837D5"/>
          <w:p w:rsidR="00C061E9" w:rsidRDefault="00C061E9" w:rsidP="008837D5">
            <w:r>
              <w:t>Adult Services</w:t>
            </w:r>
          </w:p>
          <w:p w:rsidR="00C061E9" w:rsidRDefault="00C061E9" w:rsidP="008837D5"/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 liaising with /School/College</w:t>
            </w:r>
          </w:p>
          <w:p w:rsidR="00C061E9" w:rsidRDefault="00C061E9" w:rsidP="008837D5">
            <w:r>
              <w:t>Local Offer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</w:tc>
      </w:tr>
      <w:tr w:rsidR="00C061E9" w:rsidTr="008837D5">
        <w:tc>
          <w:tcPr>
            <w:tcW w:w="2093" w:type="dxa"/>
          </w:tcPr>
          <w:p w:rsidR="00C061E9" w:rsidRDefault="00C061E9" w:rsidP="008837D5">
            <w:pPr>
              <w:rPr>
                <w:b/>
              </w:rPr>
            </w:pPr>
            <w:r>
              <w:rPr>
                <w:b/>
              </w:rPr>
              <w:lastRenderedPageBreak/>
              <w:t>Year 14 (19+)</w:t>
            </w:r>
          </w:p>
        </w:tc>
        <w:tc>
          <w:tcPr>
            <w:tcW w:w="6379" w:type="dxa"/>
          </w:tcPr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Co-ordinate applications for post 19 residential placement including consultation with local colleges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Hold residential Panel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Organise and hold Annual Review for those on EHC plans/Statement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Meet and produce careers summary prior to review meeting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Discussion around placement and progression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EHC Transfer process for young people with 139a/LDA document as in year 9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Post 16 placements to be named in EHC plan by March 31</w:t>
            </w:r>
            <w:r w:rsidRPr="00D66493">
              <w:rPr>
                <w:vertAlign w:val="superscript"/>
              </w:rPr>
              <w:t>st</w:t>
            </w:r>
            <w:r>
              <w:t xml:space="preserve"> 2016 onwards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 xml:space="preserve">EHC Transfer process for young people moving provision </w:t>
            </w:r>
            <w:proofErr w:type="spellStart"/>
            <w:r>
              <w:t>ie</w:t>
            </w:r>
            <w:proofErr w:type="spellEnd"/>
            <w:r>
              <w:t xml:space="preserve"> school to college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 xml:space="preserve">Attend every Review at </w:t>
            </w:r>
            <w:proofErr w:type="spellStart"/>
            <w:r>
              <w:t>Ravenscliffe</w:t>
            </w:r>
            <w:proofErr w:type="spellEnd"/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lastRenderedPageBreak/>
              <w:t>Residential College Panel</w:t>
            </w:r>
          </w:p>
          <w:p w:rsidR="00C061E9" w:rsidRDefault="00C061E9" w:rsidP="00C061E9">
            <w:pPr>
              <w:pStyle w:val="ListParagraph"/>
              <w:numPr>
                <w:ilvl w:val="0"/>
                <w:numId w:val="7"/>
              </w:numPr>
              <w:contextualSpacing/>
            </w:pPr>
            <w:r>
              <w:t>Ad hoc individual referrals to Adult Social Care – Learning disability / FACS / Gateway</w:t>
            </w:r>
          </w:p>
        </w:tc>
        <w:tc>
          <w:tcPr>
            <w:tcW w:w="1417" w:type="dxa"/>
          </w:tcPr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lastRenderedPageBreak/>
              <w:sym w:font="Wingdings" w:char="F0FC"/>
            </w: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</w:tc>
        <w:tc>
          <w:tcPr>
            <w:tcW w:w="1559" w:type="dxa"/>
          </w:tcPr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</w:p>
          <w:p w:rsidR="00C061E9" w:rsidRDefault="00C061E9" w:rsidP="008837D5">
            <w:pPr>
              <w:jc w:val="center"/>
            </w:pPr>
            <w:r>
              <w:sym w:font="Wingdings" w:char="F0FC"/>
            </w:r>
          </w:p>
          <w:p w:rsidR="00C061E9" w:rsidRDefault="00C061E9" w:rsidP="008837D5">
            <w:pPr>
              <w:jc w:val="center"/>
            </w:pPr>
          </w:p>
          <w:p w:rsidR="00C061E9" w:rsidRDefault="00C061E9" w:rsidP="008837D5"/>
        </w:tc>
        <w:tc>
          <w:tcPr>
            <w:tcW w:w="2726" w:type="dxa"/>
          </w:tcPr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Team/Adults</w:t>
            </w:r>
          </w:p>
          <w:p w:rsidR="00C061E9" w:rsidRDefault="00C061E9" w:rsidP="008837D5"/>
          <w:p w:rsidR="00C061E9" w:rsidRDefault="00C061E9" w:rsidP="008837D5">
            <w:r>
              <w:t>School/College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/>
          <w:p w:rsidR="00C061E9" w:rsidRDefault="00C061E9" w:rsidP="008837D5">
            <w:r>
              <w:t>SEN Team or Setting</w:t>
            </w:r>
          </w:p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SEN Team</w:t>
            </w:r>
          </w:p>
          <w:p w:rsidR="00C061E9" w:rsidRDefault="00C061E9" w:rsidP="008837D5"/>
          <w:p w:rsidR="00C061E9" w:rsidRDefault="00C061E9" w:rsidP="008837D5">
            <w:r>
              <w:t>C&amp;K Careers</w:t>
            </w:r>
          </w:p>
          <w:p w:rsidR="00C061E9" w:rsidRDefault="00C061E9" w:rsidP="008837D5">
            <w:r>
              <w:lastRenderedPageBreak/>
              <w:t>Adult Services</w:t>
            </w:r>
          </w:p>
          <w:p w:rsidR="00C061E9" w:rsidRDefault="00C061E9" w:rsidP="008837D5">
            <w:r>
              <w:t>Pathways Service</w:t>
            </w:r>
          </w:p>
        </w:tc>
      </w:tr>
    </w:tbl>
    <w:p w:rsidR="00C061E9" w:rsidRDefault="00C061E9" w:rsidP="00C061E9"/>
    <w:p w:rsidR="00F671D9" w:rsidRDefault="00F671D9"/>
    <w:sectPr w:rsidR="00F671D9" w:rsidSect="00C061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358"/>
    <w:multiLevelType w:val="hybridMultilevel"/>
    <w:tmpl w:val="77628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90B93"/>
    <w:multiLevelType w:val="hybridMultilevel"/>
    <w:tmpl w:val="5B42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87B"/>
    <w:multiLevelType w:val="hybridMultilevel"/>
    <w:tmpl w:val="A3628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47D9A"/>
    <w:multiLevelType w:val="hybridMultilevel"/>
    <w:tmpl w:val="93941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41AC9"/>
    <w:multiLevelType w:val="hybridMultilevel"/>
    <w:tmpl w:val="93C0D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52C48"/>
    <w:multiLevelType w:val="hybridMultilevel"/>
    <w:tmpl w:val="E3C0B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5793A"/>
    <w:multiLevelType w:val="hybridMultilevel"/>
    <w:tmpl w:val="06684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E9"/>
    <w:rsid w:val="004F4EAF"/>
    <w:rsid w:val="00C061E9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E9"/>
    <w:pPr>
      <w:widowControl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F4EAF"/>
    <w:pPr>
      <w:spacing w:before="53"/>
      <w:ind w:left="840" w:hanging="3165"/>
      <w:outlineLvl w:val="0"/>
    </w:pPr>
    <w:rPr>
      <w:rFonts w:ascii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ind w:left="1070" w:hanging="320"/>
      <w:outlineLvl w:val="1"/>
    </w:pPr>
    <w:rPr>
      <w:rFonts w:ascii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ind w:left="750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ind w:left="750" w:hanging="64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EAF"/>
  </w:style>
  <w:style w:type="table" w:styleId="TableGrid">
    <w:name w:val="Table Grid"/>
    <w:basedOn w:val="TableNormal"/>
    <w:uiPriority w:val="59"/>
    <w:rsid w:val="00C061E9"/>
    <w:pPr>
      <w:widowControl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E9"/>
    <w:pPr>
      <w:widowControl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F4EAF"/>
    <w:pPr>
      <w:spacing w:before="53"/>
      <w:ind w:left="840" w:hanging="3165"/>
      <w:outlineLvl w:val="0"/>
    </w:pPr>
    <w:rPr>
      <w:rFonts w:ascii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ind w:left="1070" w:hanging="320"/>
      <w:outlineLvl w:val="1"/>
    </w:pPr>
    <w:rPr>
      <w:rFonts w:ascii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ind w:left="750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ind w:left="750" w:hanging="64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EAF"/>
  </w:style>
  <w:style w:type="table" w:styleId="TableGrid">
    <w:name w:val="Table Grid"/>
    <w:basedOn w:val="TableNormal"/>
    <w:uiPriority w:val="59"/>
    <w:rsid w:val="00C061E9"/>
    <w:pPr>
      <w:widowControl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SXJZJSQ2YJM5-499006958-3318706</_dlc_DocId>
    <_dlc_DocIdUrl xmlns="14ef3b5f-6ca1-4c1c-a353-a1c338ccc666">
      <Url>https://antsertech.sharepoint.com/sites/TriXData2/_layouts/15/DocIdRedir.aspx?ID=SXJZJSQ2YJM5-499006958-3318706</Url>
      <Description>SXJZJSQ2YJM5-499006958-3318706</Description>
    </_dlc_DocIdUrl>
  </documentManagement>
</p:properties>
</file>

<file path=customXml/itemProps1.xml><?xml version="1.0" encoding="utf-8"?>
<ds:datastoreItem xmlns:ds="http://schemas.openxmlformats.org/officeDocument/2006/customXml" ds:itemID="{1AB308B2-8C68-4D9C-94B0-819C0FB1AFFC}"/>
</file>

<file path=customXml/itemProps2.xml><?xml version="1.0" encoding="utf-8"?>
<ds:datastoreItem xmlns:ds="http://schemas.openxmlformats.org/officeDocument/2006/customXml" ds:itemID="{C5050998-8F31-474D-A6BB-AE437DB54C6D}"/>
</file>

<file path=customXml/itemProps3.xml><?xml version="1.0" encoding="utf-8"?>
<ds:datastoreItem xmlns:ds="http://schemas.openxmlformats.org/officeDocument/2006/customXml" ds:itemID="{C0F0A389-65D3-4900-BDE8-FE0B9DDAE929}"/>
</file>

<file path=customXml/itemProps4.xml><?xml version="1.0" encoding="utf-8"?>
<ds:datastoreItem xmlns:ds="http://schemas.openxmlformats.org/officeDocument/2006/customXml" ds:itemID="{BC13CB59-38D4-4BD8-B49D-66FB79F72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1</cp:revision>
  <dcterms:created xsi:type="dcterms:W3CDTF">2016-12-06T22:12:00Z</dcterms:created>
  <dcterms:modified xsi:type="dcterms:W3CDTF">2016-12-06T22:13:00Z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16291800</vt:r8>
  </property>
  <property fmtid="{D5CDD505-2E9C-101B-9397-08002B2CF9AE}" pid="4" name="_dlc_DocIdItemGuid">
    <vt:lpwstr>e88f6038-d309-4bca-ab9b-7514695fc7a4</vt:lpwstr>
  </property>
</Properties>
</file>